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image/gif" Extension="gi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after="0" w:line="240" w:lineRule="auto"/>
        <w:ind w:firstLine="0" w:left="357"/>
        <w:jc w:val="center"/>
        <w:rPr>
          <w:rFonts w:ascii="Times New Roman" w:hAnsi="Times New Roman"/>
          <w:b w:val="1"/>
          <w:i w:val="1"/>
          <w:sz w:val="20"/>
        </w:rPr>
      </w:pPr>
    </w:p>
    <w:p w14:paraId="04000000">
      <w:pPr>
        <w:pStyle w:val="Style_2"/>
        <w:tabs>
          <w:tab w:leader="none" w:pos="8789" w:val="left"/>
        </w:tabs>
        <w:spacing w:after="0" w:line="240" w:lineRule="auto"/>
        <w:ind w:firstLine="0" w:left="357" w:right="567"/>
        <w:jc w:val="center"/>
        <w:rPr>
          <w:rFonts w:ascii="Times New Roman" w:hAnsi="Times New Roman"/>
          <w:b w:val="1"/>
          <w:i w:val="1"/>
          <w:sz w:val="20"/>
        </w:rPr>
      </w:pPr>
      <w:r>
        <w:rPr>
          <w:rFonts w:ascii="Times New Roman" w:hAnsi="Times New Roman"/>
          <w:b w:val="1"/>
          <w:i w:val="1"/>
          <w:sz w:val="20"/>
        </w:rPr>
        <w:drawing>
          <wp:inline>
            <wp:extent cx="657225" cy="68579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57225" cy="685799"/>
                    </a:xfrm>
                    <a:prstGeom prst="rect"/>
                  </pic:spPr>
                </pic:pic>
              </a:graphicData>
            </a:graphic>
          </wp:inline>
        </w:drawing>
      </w:r>
    </w:p>
    <w:tbl>
      <w:tblPr>
        <w:tblStyle w:val="Style_3"/>
        <w:tblInd w:type="dxa" w:w="357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2827"/>
        <w:gridCol w:w="5002"/>
        <w:gridCol w:w="2539"/>
      </w:tblGrid>
      <w:tr>
        <w:trPr>
          <w:trHeight w:hRule="atLeast" w:val="176"/>
        </w:trPr>
        <w:tc>
          <w:tcPr>
            <w:tcW w:type="dxa" w:w="282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5000000"/>
        </w:tc>
        <w:tc>
          <w:tcPr>
            <w:tcW w:type="dxa" w:w="500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pStyle w:val="Style_2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Правительство Ростовской области</w:t>
            </w:r>
          </w:p>
        </w:tc>
        <w:tc>
          <w:tcPr>
            <w:tcW w:type="dxa" w:w="25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7000000"/>
        </w:tc>
      </w:tr>
    </w:tbl>
    <w:p w14:paraId="08000000">
      <w:pPr>
        <w:pStyle w:val="Style_2"/>
        <w:spacing w:after="0" w:line="240" w:lineRule="auto"/>
        <w:ind w:firstLine="0" w:left="357"/>
        <w:jc w:val="center"/>
        <w:rPr>
          <w:rFonts w:ascii="Times New Roman" w:hAnsi="Times New Roman"/>
          <w:b w:val="1"/>
          <w:i w:val="1"/>
          <w:sz w:val="32"/>
        </w:rPr>
      </w:pPr>
      <w:r>
        <w:rPr>
          <w:rFonts w:ascii="Times New Roman" w:hAnsi="Times New Roman"/>
          <w:b w:val="1"/>
          <w:i w:val="1"/>
          <w:sz w:val="32"/>
        </w:rPr>
        <w:t>О бесплатной юридической помощи в Ростовской области</w:t>
      </w:r>
    </w:p>
    <w:tbl>
      <w:tblPr>
        <w:tblStyle w:val="Style_3"/>
        <w:tblLayout w:type="fixed"/>
      </w:tblPr>
      <w:tblGrid>
        <w:gridCol w:w="11285"/>
      </w:tblGrid>
      <w:tr>
        <w:tc>
          <w:tcPr>
            <w:tcW w:type="dxa" w:w="11285"/>
            <w:shd w:themeFill="background2" w:val="clear"/>
          </w:tcPr>
          <w:p w14:paraId="09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Категории граждан, имеющих право на получение бесплатной</w:t>
            </w:r>
          </w:p>
          <w:p w14:paraId="0A000000">
            <w:pPr>
              <w:ind/>
              <w:jc w:val="center"/>
              <w:rPr>
                <w:rFonts w:ascii="Times New Roman" w:hAnsi="Times New Roman"/>
                <w:b w:val="1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юридической помощи на территории Ростовской области</w:t>
            </w:r>
          </w:p>
        </w:tc>
      </w:tr>
    </w:tbl>
    <w:p w14:paraId="0B000000">
      <w:pPr>
        <w:pStyle w:val="Style_2"/>
        <w:spacing w:after="0" w:line="240" w:lineRule="auto"/>
        <w:ind w:firstLine="0" w:left="357"/>
        <w:jc w:val="center"/>
        <w:rPr>
          <w:rFonts w:ascii="Times New Roman" w:hAnsi="Times New Roman"/>
          <w:b w:val="1"/>
          <w:i w:val="1"/>
          <w:sz w:val="28"/>
        </w:rPr>
      </w:pPr>
    </w:p>
    <w:p w14:paraId="0C000000">
      <w:pPr>
        <w:pStyle w:val="Style_2"/>
        <w:spacing w:after="0" w:line="240" w:lineRule="auto"/>
        <w:ind w:firstLine="0" w:left="35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Статья</w:t>
      </w:r>
      <w:r>
        <w:rPr>
          <w:rFonts w:ascii="Times New Roman" w:hAnsi="Times New Roman"/>
          <w:sz w:val="26"/>
        </w:rPr>
        <w:t xml:space="preserve"> 4 Областного</w:t>
      </w:r>
      <w:r>
        <w:rPr>
          <w:rFonts w:ascii="Times New Roman" w:hAnsi="Times New Roman"/>
          <w:sz w:val="26"/>
        </w:rPr>
        <w:t xml:space="preserve"> закона от 24.12.2012 № 1017-ЗС:</w:t>
      </w:r>
    </w:p>
    <w:p w14:paraId="0D000000">
      <w:pPr>
        <w:numPr>
          <w:ilvl w:val="0"/>
          <w:numId w:val="1"/>
        </w:numPr>
        <w:spacing w:after="0" w:line="240" w:lineRule="auto"/>
        <w:ind w:hanging="357" w:left="357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Граждане, ср</w:t>
      </w:r>
      <w:r>
        <w:rPr>
          <w:rFonts w:ascii="Times New Roman" w:hAnsi="Times New Roman"/>
          <w:sz w:val="26"/>
        </w:rPr>
        <w:t>еднедушевой доход семей которых ниже 1,5 величины прожиточного минимума, установленного в  Ростовской области в соответствии с законодательством Российской Федерации, либо одиноко проживающие граждане, доходы которых ниже 1,5 величины прожиточного минимума;</w:t>
      </w:r>
    </w:p>
    <w:p w14:paraId="0E000000">
      <w:pPr>
        <w:numPr>
          <w:ilvl w:val="0"/>
          <w:numId w:val="1"/>
        </w:numPr>
        <w:spacing w:after="0" w:line="240" w:lineRule="auto"/>
        <w:ind w:hanging="357" w:left="357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Инвалиды I, II группы, а также III группы (при условии, если среднедушевой доход их семей (для одиноко проживающих граждан - доход) ниже двукратной величины прожиточного минимума, установленного в Ростовской области в соответствии с законодательством Росс</w:t>
      </w:r>
      <w:r>
        <w:rPr>
          <w:rFonts w:ascii="Times New Roman" w:hAnsi="Times New Roman"/>
          <w:sz w:val="26"/>
        </w:rPr>
        <w:t>ийской Федерации);</w:t>
      </w:r>
    </w:p>
    <w:p w14:paraId="0F000000">
      <w:pPr>
        <w:pStyle w:val="Style_2"/>
        <w:numPr>
          <w:ilvl w:val="0"/>
          <w:numId w:val="1"/>
        </w:numPr>
        <w:spacing w:after="0" w:line="240" w:lineRule="auto"/>
        <w:ind w:hanging="357" w:left="35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Участники специальной военной операции, а также члены их семей</w:t>
      </w:r>
      <w:r>
        <w:rPr>
          <w:rFonts w:ascii="Times New Roman" w:hAnsi="Times New Roman"/>
          <w:sz w:val="26"/>
        </w:rPr>
        <w:t>;</w:t>
      </w:r>
    </w:p>
    <w:p w14:paraId="10000000">
      <w:pPr>
        <w:pStyle w:val="Style_2"/>
        <w:numPr>
          <w:ilvl w:val="0"/>
          <w:numId w:val="1"/>
        </w:numPr>
        <w:spacing w:after="0" w:line="240" w:lineRule="auto"/>
        <w:ind w:hanging="357" w:left="35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Иные категории граждан</w:t>
      </w:r>
      <w:r>
        <w:rPr>
          <w:rFonts w:ascii="Times New Roman" w:hAnsi="Times New Roman"/>
          <w:sz w:val="26"/>
        </w:rPr>
        <w:t>, которым право на получение бесплатной юридической помощи в рамках государственной системы бесплатной юридической помощи предоставлено в соответствии с федеральным и областным</w:t>
      </w:r>
      <w:r>
        <w:rPr>
          <w:rFonts w:ascii="Times New Roman" w:hAnsi="Times New Roman"/>
          <w:sz w:val="26"/>
        </w:rPr>
        <w:t xml:space="preserve"> законом</w:t>
      </w:r>
      <w:r>
        <w:rPr>
          <w:rFonts w:ascii="Times New Roman" w:hAnsi="Times New Roman"/>
          <w:sz w:val="26"/>
        </w:rPr>
        <w:t>.</w:t>
      </w:r>
    </w:p>
    <w:p w14:paraId="11000000">
      <w:pPr>
        <w:pStyle w:val="Style_2"/>
        <w:spacing w:after="0" w:line="240" w:lineRule="auto"/>
        <w:ind w:hanging="357" w:left="357"/>
        <w:jc w:val="both"/>
        <w:rPr>
          <w:rFonts w:ascii="Times New Roman" w:hAnsi="Times New Roman"/>
          <w:sz w:val="26"/>
        </w:rPr>
      </w:pPr>
    </w:p>
    <w:tbl>
      <w:tblPr>
        <w:tblStyle w:val="Style_3"/>
        <w:tblInd w:type="dxa" w:w="108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5422"/>
        <w:gridCol w:w="240"/>
        <w:gridCol w:w="5401"/>
      </w:tblGrid>
      <w:tr>
        <w:tc>
          <w:tcPr>
            <w:tcW w:type="dxa" w:w="542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themeFill="background2" w:val="clear"/>
          </w:tcPr>
          <w:p w14:paraId="12000000">
            <w:pPr>
              <w:pStyle w:val="Style_2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Способы оказания бесплатной</w:t>
            </w:r>
          </w:p>
          <w:p w14:paraId="13000000">
            <w:pPr>
              <w:pStyle w:val="Style_2"/>
              <w:ind w:firstLine="0" w:left="0"/>
              <w:jc w:val="center"/>
              <w:rPr>
                <w:rFonts w:ascii="Times New Roman" w:hAnsi="Times New Roman"/>
                <w:b w:val="1"/>
                <w:i w:val="1"/>
                <w:color w:themeColor="background1" w:val="FFFFFF"/>
                <w:sz w:val="28"/>
                <w:highlight w:val="black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 xml:space="preserve"> юридической помощи</w:t>
            </w:r>
          </w:p>
        </w:tc>
        <w:tc>
          <w:tcPr>
            <w:tcW w:type="dxa" w:w="24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themeFill="background2" w:val="clear"/>
          </w:tcPr>
          <w:p w14:paraId="14000000">
            <w:pPr>
              <w:pStyle w:val="Style_2"/>
              <w:ind w:firstLine="0" w:left="0"/>
              <w:jc w:val="center"/>
              <w:rPr>
                <w:rFonts w:ascii="Times New Roman" w:hAnsi="Times New Roman"/>
                <w:b w:val="1"/>
                <w:i w:val="1"/>
                <w:color w:themeColor="background1" w:val="FFFFFF"/>
                <w:sz w:val="28"/>
                <w:highlight w:val="black"/>
              </w:rPr>
            </w:pPr>
          </w:p>
        </w:tc>
        <w:tc>
          <w:tcPr>
            <w:tcW w:type="dxa" w:w="54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themeFill="background2" w:val="clear"/>
            <w:vAlign w:val="center"/>
          </w:tcPr>
          <w:p w14:paraId="15000000">
            <w:pPr>
              <w:pStyle w:val="Style_2"/>
              <w:ind w:firstLine="0" w:left="0"/>
              <w:jc w:val="center"/>
              <w:rPr>
                <w:rFonts w:ascii="Times New Roman" w:hAnsi="Times New Roman"/>
                <w:b w:val="1"/>
                <w:i w:val="1"/>
                <w:color w:themeColor="background1" w:val="FFFFFF"/>
                <w:sz w:val="28"/>
                <w:highlight w:val="black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Помощь оказывают</w:t>
            </w:r>
          </w:p>
        </w:tc>
      </w:tr>
      <w:tr>
        <w:trPr>
          <w:trHeight w:hRule="atLeast" w:val="2866"/>
        </w:trPr>
        <w:tc>
          <w:tcPr>
            <w:tcW w:type="dxa" w:w="542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themeFill="background2" w:val="clear"/>
          </w:tcPr>
          <w:p w14:paraId="16000000">
            <w:pPr>
              <w:pStyle w:val="Style_2"/>
              <w:numPr>
                <w:ilvl w:val="3"/>
                <w:numId w:val="2"/>
              </w:numPr>
              <w:ind w:hanging="141" w:left="459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правовое консультирование в устной форме</w:t>
            </w:r>
          </w:p>
          <w:p w14:paraId="17000000">
            <w:pPr>
              <w:pStyle w:val="Style_2"/>
              <w:numPr>
                <w:ilvl w:val="3"/>
                <w:numId w:val="2"/>
              </w:numPr>
              <w:ind w:hanging="141" w:left="459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правовое консультирование                                  в письменной форме</w:t>
            </w:r>
          </w:p>
          <w:p w14:paraId="18000000">
            <w:pPr>
              <w:pStyle w:val="Style_2"/>
              <w:numPr>
                <w:ilvl w:val="3"/>
                <w:numId w:val="2"/>
              </w:numPr>
              <w:ind w:hanging="141" w:left="459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составление документов правового характера</w:t>
            </w:r>
          </w:p>
          <w:p w14:paraId="19000000">
            <w:pPr>
              <w:pStyle w:val="Style_2"/>
              <w:numPr>
                <w:ilvl w:val="3"/>
                <w:numId w:val="2"/>
              </w:numPr>
              <w:ind w:hanging="141" w:left="459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представление интересов в судах                               и других органах</w:t>
            </w:r>
          </w:p>
        </w:tc>
        <w:tc>
          <w:tcPr>
            <w:tcW w:type="dxa" w:w="24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themeFill="background2" w:val="clear"/>
          </w:tcPr>
          <w:p w14:paraId="1A000000">
            <w:pPr>
              <w:pStyle w:val="Style_2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4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themeFill="background2" w:val="clear"/>
          </w:tcPr>
          <w:p w14:paraId="1B000000">
            <w:pPr>
              <w:pStyle w:val="Style_2"/>
              <w:numPr>
                <w:ilvl w:val="3"/>
                <w:numId w:val="2"/>
              </w:numPr>
              <w:ind w:hanging="141" w:left="28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адвокаты, являющиеся участниками государственной системы бесплатной юридической помощи в Ростовской области</w:t>
            </w:r>
          </w:p>
          <w:p w14:paraId="1C000000">
            <w:pPr>
              <w:pStyle w:val="Style_2"/>
              <w:ind w:hanging="141" w:left="28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drawing>
                <wp:inline>
                  <wp:extent cx="600075" cy="600075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3"/>
                          <a:stretch/>
                        </pic:blipFill>
                        <pic:spPr>
                          <a:xfrm flipH="false" flipV="false" rot="0">
                            <a:ext cx="600075" cy="6000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1D000000">
            <w:pPr>
              <w:pStyle w:val="Style_2"/>
              <w:ind w:hanging="141" w:left="281"/>
              <w:jc w:val="both"/>
              <w:rPr>
                <w:rFonts w:ascii="Times New Roman" w:hAnsi="Times New Roman"/>
                <w:sz w:val="28"/>
              </w:rPr>
            </w:pPr>
          </w:p>
          <w:p w14:paraId="1E000000">
            <w:pPr>
              <w:pStyle w:val="Style_2"/>
              <w:numPr>
                <w:ilvl w:val="3"/>
                <w:numId w:val="2"/>
              </w:numPr>
              <w:ind w:hanging="141" w:left="281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6"/>
              </w:rPr>
              <w:t>исполнительные органы Ростовской области (</w:t>
            </w:r>
            <w:r>
              <w:rPr>
                <w:rFonts w:ascii="Times New Roman" w:hAnsi="Times New Roman"/>
                <w:sz w:val="24"/>
              </w:rPr>
              <w:t xml:space="preserve">минздрав РО, </w:t>
            </w:r>
            <w:r>
              <w:rPr>
                <w:rFonts w:ascii="Times New Roman" w:hAnsi="Times New Roman"/>
                <w:sz w:val="24"/>
              </w:rPr>
              <w:t xml:space="preserve">минобразование Ростовской области, </w:t>
            </w:r>
            <w:r>
              <w:rPr>
                <w:rFonts w:ascii="Times New Roman" w:hAnsi="Times New Roman"/>
                <w:sz w:val="24"/>
              </w:rPr>
              <w:t xml:space="preserve">минтруд области, </w:t>
            </w:r>
            <w:r>
              <w:rPr>
                <w:rFonts w:ascii="Times New Roman" w:hAnsi="Times New Roman"/>
                <w:sz w:val="24"/>
              </w:rPr>
              <w:t>министерство строительства РО</w:t>
            </w:r>
            <w:r>
              <w:rPr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Госжилинспекция области, </w:t>
            </w:r>
            <w:r>
              <w:rPr>
                <w:rFonts w:ascii="Times New Roman" w:hAnsi="Times New Roman"/>
                <w:sz w:val="24"/>
              </w:rPr>
              <w:t>УГСЗН Ростовской области)</w:t>
            </w:r>
          </w:p>
          <w:p w14:paraId="1F000000">
            <w:pPr>
              <w:pStyle w:val="Style_2"/>
              <w:ind w:hanging="141" w:left="281"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14:paraId="20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Справочную информацию об участниках</w:t>
      </w:r>
    </w:p>
    <w:p w14:paraId="2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государственной и негосударственной системы бесплатной юридической помощи в Ростовской области</w:t>
      </w: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3640"/>
        <w:gridCol w:w="3729"/>
        <w:gridCol w:w="88"/>
        <w:gridCol w:w="3709"/>
      </w:tblGrid>
      <w:tr>
        <w:trPr>
          <w:trHeight w:hRule="atLeast" w:val="1186"/>
        </w:trPr>
        <w:tc>
          <w:tcPr>
            <w:tcW w:type="dxa" w:w="36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drawing>
                <wp:inline>
                  <wp:extent cx="705600" cy="705600"/>
                  <wp:effectExtent b="0" l="0" r="0" t="0"/>
                  <wp:docPr hidden="false" id="6" name="Picture 6"/>
                  <a:graphic>
                    <a:graphicData uri="http://schemas.openxmlformats.org/drawingml/2006/picture">
                      <pic:pic>
                        <pic:nvPicPr>
                          <pic:cNvPr hidden="false" id="5" name="Picture 5"/>
                          <pic:cNvPicPr preferRelativeResize="true"/>
                        </pic:nvPicPr>
                        <pic:blipFill>
                          <a:blip r:embed="rId4"/>
                          <a:stretch/>
                        </pic:blipFill>
                        <pic:spPr>
                          <a:xfrm flipH="false" flipV="false" rot="0">
                            <a:ext cx="705600" cy="705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81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drawing>
                <wp:inline>
                  <wp:extent cx="705600" cy="705600"/>
                  <wp:effectExtent b="0" l="0" r="0" t="0"/>
                  <wp:docPr hidden="false" id="8" name="Picture 8"/>
                  <a:graphic>
                    <a:graphicData uri="http://schemas.openxmlformats.org/drawingml/2006/picture">
                      <pic:pic>
                        <pic:nvPicPr>
                          <pic:cNvPr hidden="false" id="7" name="Picture 7"/>
                          <pic:cNvPicPr preferRelativeResize="true"/>
                        </pic:nvPicPr>
                        <pic:blipFill>
                          <a:blip r:embed="rId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05600" cy="705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70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drawing>
                <wp:inline>
                  <wp:extent cx="705600" cy="705600"/>
                  <wp:effectExtent b="0" l="0" r="0" t="0"/>
                  <wp:docPr hidden="false" id="10" name="Picture 10"/>
                  <a:graphic>
                    <a:graphicData uri="http://schemas.openxmlformats.org/drawingml/2006/picture">
                      <pic:pic>
                        <pic:nvPicPr>
                          <pic:cNvPr hidden="false" id="9" name="Picture 9"/>
                          <pic:cNvPicPr preferRelativeResize="true"/>
                        </pic:nvPicPr>
                        <pic:blipFill>
                          <a:blip r:embed="rId6"/>
                          <a:stretch/>
                        </pic:blipFill>
                        <pic:spPr>
                          <a:xfrm flipH="false" flipV="false" rot="0">
                            <a:ext cx="705600" cy="705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256"/>
        </w:trPr>
        <w:tc>
          <w:tcPr>
            <w:tcW w:type="dxa" w:w="364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6000000">
            <w:pPr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https://to61.minjust.ru/</w:t>
            </w:r>
          </w:p>
        </w:tc>
        <w:tc>
          <w:tcPr>
            <w:tcW w:type="dxa" w:w="372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7000000">
            <w:pPr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https://www.donland.ru/</w:t>
            </w:r>
          </w:p>
        </w:tc>
        <w:tc>
          <w:tcPr>
            <w:tcW w:type="dxa" w:w="3797"/>
            <w:gridSpan w:val="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8000000">
            <w:pPr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https://apro.fparf.ru/</w:t>
            </w:r>
          </w:p>
        </w:tc>
      </w:tr>
    </w:tbl>
    <w:p w14:paraId="29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можно получить на официальных </w:t>
      </w:r>
      <w:r>
        <w:rPr>
          <w:rFonts w:ascii="Times New Roman" w:hAnsi="Times New Roman"/>
          <w:b w:val="1"/>
          <w:sz w:val="24"/>
        </w:rPr>
        <w:t>сайтах  Главного</w:t>
      </w:r>
      <w:r>
        <w:rPr>
          <w:rFonts w:ascii="Times New Roman" w:hAnsi="Times New Roman"/>
          <w:b w:val="1"/>
          <w:sz w:val="24"/>
        </w:rPr>
        <w:t xml:space="preserve"> управления Министерства юстиции России по Ростовской области, Правительства Ростовской области, Адвокатской палаты Ростовской области</w:t>
      </w:r>
    </w:p>
    <w:sectPr>
      <w:footerReference r:id="rId1" w:type="default"/>
      <w:pgSz w:h="16848" w:orient="portrait" w:w="11908"/>
      <w:pgMar w:bottom="0" w:footer="0" w:gutter="0" w:header="567" w:left="340" w:right="283" w:top="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No Spacing"/>
    <w:link w:val="Style_7_ch"/>
    <w:pPr>
      <w:spacing w:after="0" w:line="240" w:lineRule="auto"/>
      <w:ind/>
    </w:pPr>
    <w:rPr>
      <w:rFonts w:ascii="Calibri" w:hAnsi="Calibri"/>
    </w:rPr>
  </w:style>
  <w:style w:styleId="Style_7_ch" w:type="character">
    <w:name w:val="No Spacing"/>
    <w:link w:val="Style_7"/>
    <w:rPr>
      <w:rFonts w:ascii="Calibri" w:hAnsi="Calibri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header"/>
    <w:basedOn w:val="Style_4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11_ch" w:type="character">
    <w:name w:val="header"/>
    <w:basedOn w:val="Style_4_ch"/>
    <w:link w:val="Style_11"/>
    <w:rPr>
      <w:rFonts w:ascii="Times New Roman" w:hAnsi="Times New Roman"/>
      <w:sz w:val="24"/>
    </w:rPr>
  </w:style>
  <w:style w:styleId="Style_12" w:type="paragraph">
    <w:name w:val="apple-converted-space"/>
    <w:basedOn w:val="Style_13"/>
    <w:link w:val="Style_12_ch"/>
  </w:style>
  <w:style w:styleId="Style_12_ch" w:type="character">
    <w:name w:val="apple-converted-space"/>
    <w:basedOn w:val="Style_13_ch"/>
    <w:link w:val="Style_12"/>
  </w:style>
  <w:style w:styleId="Style_14" w:type="paragraph">
    <w:name w:val="2"/>
    <w:basedOn w:val="Style_13"/>
    <w:link w:val="Style_14_ch"/>
  </w:style>
  <w:style w:styleId="Style_14_ch" w:type="character">
    <w:name w:val="2"/>
    <w:basedOn w:val="Style_13_ch"/>
    <w:link w:val="Style_14"/>
  </w:style>
  <w:style w:styleId="Style_15" w:type="paragraph">
    <w:name w:val="ConsPlusNormal"/>
    <w:link w:val="Style_15_ch"/>
    <w:pPr>
      <w:spacing w:after="0" w:line="240" w:lineRule="auto"/>
      <w:ind/>
    </w:pPr>
    <w:rPr>
      <w:rFonts w:ascii="Arial" w:hAnsi="Arial"/>
      <w:sz w:val="20"/>
    </w:rPr>
  </w:style>
  <w:style w:styleId="Style_15_ch" w:type="character">
    <w:name w:val="ConsPlusNormal"/>
    <w:link w:val="Style_15"/>
    <w:rPr>
      <w:rFonts w:ascii="Arial" w:hAnsi="Arial"/>
      <w:sz w:val="20"/>
    </w:rPr>
  </w:style>
  <w:style w:styleId="Style_16" w:type="paragraph">
    <w:name w:val="Balloon Text"/>
    <w:basedOn w:val="Style_4"/>
    <w:link w:val="Style_16_ch"/>
    <w:pPr>
      <w:spacing w:after="0" w:line="240" w:lineRule="auto"/>
      <w:ind/>
    </w:pPr>
    <w:rPr>
      <w:rFonts w:ascii="Tahoma" w:hAnsi="Tahoma"/>
      <w:sz w:val="16"/>
    </w:rPr>
  </w:style>
  <w:style w:styleId="Style_16_ch" w:type="character">
    <w:name w:val="Balloon Text"/>
    <w:basedOn w:val="Style_4_ch"/>
    <w:link w:val="Style_16"/>
    <w:rPr>
      <w:rFonts w:ascii="Tahoma" w:hAnsi="Tahoma"/>
      <w:sz w:val="16"/>
    </w:rPr>
  </w:style>
  <w:style w:styleId="Style_17" w:type="paragraph">
    <w:name w:val="toc 3"/>
    <w:next w:val="Style_4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2" w:type="paragraph">
    <w:name w:val="List Paragraph"/>
    <w:basedOn w:val="Style_4"/>
    <w:link w:val="Style_2_ch"/>
    <w:pPr>
      <w:ind w:firstLine="0" w:left="720"/>
      <w:contextualSpacing w:val="1"/>
    </w:pPr>
  </w:style>
  <w:style w:styleId="Style_2_ch" w:type="character">
    <w:name w:val="List Paragraph"/>
    <w:basedOn w:val="Style_4_ch"/>
    <w:link w:val="Style_2"/>
  </w:style>
  <w:style w:styleId="Style_18" w:type="paragraph">
    <w:name w:val="Body Text"/>
    <w:basedOn w:val="Style_4"/>
    <w:link w:val="Style_18_ch"/>
    <w:pPr>
      <w:spacing w:after="0" w:line="240" w:lineRule="auto"/>
      <w:ind/>
      <w:jc w:val="center"/>
    </w:pPr>
    <w:rPr>
      <w:rFonts w:ascii="Times New Roman" w:hAnsi="Times New Roman"/>
      <w:b w:val="1"/>
      <w:sz w:val="28"/>
    </w:rPr>
  </w:style>
  <w:style w:styleId="Style_18_ch" w:type="character">
    <w:name w:val="Body Text"/>
    <w:basedOn w:val="Style_4_ch"/>
    <w:link w:val="Style_18"/>
    <w:rPr>
      <w:rFonts w:ascii="Times New Roman" w:hAnsi="Times New Roman"/>
      <w:b w:val="1"/>
      <w:sz w:val="28"/>
    </w:rPr>
  </w:style>
  <w:style w:styleId="Style_19" w:type="paragraph">
    <w:name w:val="heading 5"/>
    <w:next w:val="Style_4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FollowedHyperlink"/>
    <w:basedOn w:val="Style_13"/>
    <w:link w:val="Style_20_ch"/>
    <w:rPr>
      <w:color w:themeColor="followedHyperlink" w:val="800080"/>
      <w:u w:val="single"/>
    </w:rPr>
  </w:style>
  <w:style w:styleId="Style_20_ch" w:type="character">
    <w:name w:val="FollowedHyperlink"/>
    <w:basedOn w:val="Style_13_ch"/>
    <w:link w:val="Style_20"/>
    <w:rPr>
      <w:color w:themeColor="followedHyperlink" w:val="800080"/>
      <w:u w:val="single"/>
    </w:rPr>
  </w:style>
  <w:style w:styleId="Style_21" w:type="paragraph">
    <w:name w:val="heading 1"/>
    <w:next w:val="Style_4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Hyperlink"/>
    <w:basedOn w:val="Style_13"/>
    <w:link w:val="Style_22_ch"/>
    <w:rPr>
      <w:color w:val="0000FF"/>
      <w:u w:val="single"/>
    </w:rPr>
  </w:style>
  <w:style w:styleId="Style_22_ch" w:type="character">
    <w:name w:val="Hyperlink"/>
    <w:basedOn w:val="Style_13_ch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4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Normal (Web)"/>
    <w:basedOn w:val="Style_4"/>
    <w:link w:val="Style_2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6_ch" w:type="character">
    <w:name w:val="Normal (Web)"/>
    <w:basedOn w:val="Style_4_ch"/>
    <w:link w:val="Style_26"/>
    <w:rPr>
      <w:rFonts w:ascii="Times New Roman" w:hAnsi="Times New Roman"/>
      <w:sz w:val="24"/>
    </w:rPr>
  </w:style>
  <w:style w:styleId="Style_27" w:type="paragraph">
    <w:name w:val="toc 9"/>
    <w:next w:val="Style_4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4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4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4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4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4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basedOn w:val="Style_4"/>
    <w:link w:val="Style_33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33_ch" w:type="character">
    <w:name w:val="heading 2"/>
    <w:basedOn w:val="Style_4_ch"/>
    <w:link w:val="Style_33"/>
    <w:rPr>
      <w:rFonts w:ascii="Times New Roman" w:hAnsi="Times New Roman"/>
      <w:b w:val="1"/>
      <w:sz w:val="36"/>
    </w:r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3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numbering.xml" Type="http://schemas.openxmlformats.org/officeDocument/2006/relationships/numbering"/>
  <Relationship Id="rId12" Target="theme/theme1.xml" Type="http://schemas.openxmlformats.org/officeDocument/2006/relationships/theme"/>
  <Relationship Id="rId11" Target="webSettings.xml" Type="http://schemas.openxmlformats.org/officeDocument/2006/relationships/webSettings"/>
  <Relationship Id="rId10" Target="stylesWithEffects.xml" Type="http://schemas.microsoft.com/office/2007/relationships/stylesWithEffect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6" Target="media/5.png" Type="http://schemas.openxmlformats.org/officeDocument/2006/relationships/image"/>
  <Relationship Id="rId5" Target="media/4.gif" Type="http://schemas.openxmlformats.org/officeDocument/2006/relationships/image"/>
  <Relationship Id="rId4" Target="media/3.png" Type="http://schemas.openxmlformats.org/officeDocument/2006/relationships/image"/>
  <Relationship Id="rId8" Target="settings.xml" Type="http://schemas.openxmlformats.org/officeDocument/2006/relationships/settings"/>
  <Relationship Id="rId2" Target="media/1.jpeg" Type="http://schemas.openxmlformats.org/officeDocument/2006/relationships/image"/>
  <Relationship Id="rId3" Target="media/2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2024-10-04T08:35:25Z</dcterms:modified>
</cp:coreProperties>
</file>