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A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B000000">
      <w:pPr>
        <w:ind/>
        <w:jc w:val="center"/>
      </w:pPr>
    </w:p>
    <w:p w14:paraId="0C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D000000">
      <w:pPr>
        <w:ind/>
        <w:jc w:val="center"/>
      </w:pPr>
    </w:p>
    <w:p w14:paraId="0E000000">
      <w:pPr>
        <w:ind/>
        <w:jc w:val="center"/>
      </w:pPr>
    </w:p>
    <w:p w14:paraId="0F000000">
      <w:pPr>
        <w:ind/>
        <w:jc w:val="center"/>
      </w:pPr>
      <w:r>
        <w:t>с. Носово</w:t>
      </w:r>
    </w:p>
    <w:p w14:paraId="10000000">
      <w:pPr>
        <w:ind/>
        <w:jc w:val="both"/>
      </w:pPr>
      <w:r>
        <w:t>_______</w:t>
      </w:r>
      <w:r>
        <w:t>2025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__</w:t>
      </w: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8895"/>
      </w:tblGrid>
      <w:tr>
        <w:tc>
          <w:tcPr>
            <w:tcW w:type="dxa" w:w="8895"/>
          </w:tcPr>
          <w:p w14:paraId="14000000">
            <w:pPr>
              <w:ind w:hanging="283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Муниципальная политика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 xml:space="preserve"> год</w:t>
            </w:r>
          </w:p>
        </w:tc>
      </w:tr>
    </w:tbl>
    <w:p w14:paraId="15000000">
      <w:pPr>
        <w:ind/>
        <w:jc w:val="both"/>
        <w:rPr>
          <w:color w:val="000000"/>
        </w:rPr>
      </w:pPr>
    </w:p>
    <w:p w14:paraId="16000000">
      <w:pPr>
        <w:ind/>
        <w:jc w:val="both"/>
        <w:rPr>
          <w:color w:val="000000"/>
        </w:rPr>
      </w:pPr>
    </w:p>
    <w:p w14:paraId="17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8000000">
      <w:pPr>
        <w:ind w:firstLine="708" w:left="0"/>
        <w:jc w:val="both"/>
        <w:rPr>
          <w:b w:val="1"/>
          <w:color w:val="000000"/>
        </w:rPr>
      </w:pPr>
    </w:p>
    <w:p w14:paraId="19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24</w:t>
      </w:r>
      <w:r>
        <w:rPr>
          <w:color w:val="000000"/>
        </w:rPr>
        <w:t xml:space="preserve"> </w:t>
      </w:r>
      <w:r>
        <w:rPr>
          <w:color w:val="000000"/>
        </w:rPr>
        <w:t>году муниципальной программы «</w:t>
      </w:r>
      <w:r>
        <w:t>Муниципальная политика</w:t>
      </w:r>
      <w:r>
        <w:rPr>
          <w:color w:val="000000"/>
        </w:rPr>
        <w:t>» согласно приложению к настоящему постановлению.</w:t>
      </w:r>
    </w:p>
    <w:p w14:paraId="1A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B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  <w:jc w:val="right"/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______2</w:t>
      </w:r>
      <w:r>
        <w:rPr>
          <w:sz w:val="24"/>
        </w:rPr>
        <w:t>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__</w:t>
      </w:r>
    </w:p>
    <w:p w14:paraId="32000000">
      <w:pPr>
        <w:tabs>
          <w:tab w:leader="none" w:pos="1350" w:val="left"/>
        </w:tabs>
        <w:ind/>
        <w:jc w:val="center"/>
      </w:pPr>
    </w:p>
    <w:p w14:paraId="33000000">
      <w:pPr>
        <w:tabs>
          <w:tab w:leader="none" w:pos="1350" w:val="left"/>
        </w:tabs>
        <w:ind/>
        <w:jc w:val="center"/>
      </w:pPr>
    </w:p>
    <w:p w14:paraId="34000000">
      <w:pPr>
        <w:tabs>
          <w:tab w:leader="none" w:pos="1350" w:val="left"/>
        </w:tabs>
        <w:ind/>
        <w:jc w:val="center"/>
      </w:pPr>
      <w:r>
        <w:t>Отчет</w:t>
      </w:r>
    </w:p>
    <w:p w14:paraId="35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>году муниципальной программы</w:t>
      </w:r>
    </w:p>
    <w:p w14:paraId="36000000">
      <w:pPr>
        <w:tabs>
          <w:tab w:leader="none" w:pos="1350" w:val="left"/>
        </w:tabs>
        <w:ind/>
        <w:jc w:val="center"/>
      </w:pPr>
      <w:r>
        <w:t xml:space="preserve"> «</w:t>
      </w:r>
      <w:r>
        <w:t>Муниципальная политика</w:t>
      </w:r>
      <w:r>
        <w:t>»</w:t>
      </w:r>
      <w:r>
        <w:t xml:space="preserve"> </w:t>
      </w:r>
    </w:p>
    <w:p w14:paraId="37000000">
      <w:pPr>
        <w:ind/>
        <w:jc w:val="center"/>
        <w:rPr>
          <w:sz w:val="26"/>
        </w:rPr>
      </w:pPr>
    </w:p>
    <w:p w14:paraId="38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год</w:t>
      </w:r>
    </w:p>
    <w:p w14:paraId="39000000">
      <w:pPr>
        <w:rPr>
          <w:i w:val="1"/>
        </w:rPr>
      </w:pPr>
      <w:r>
        <w:t xml:space="preserve">                                                                         </w:t>
      </w:r>
      <w:r>
        <w:t xml:space="preserve">                               </w:t>
      </w:r>
    </w:p>
    <w:p w14:paraId="3A000000">
      <w:pPr>
        <w:ind w:firstLine="708" w:left="0"/>
        <w:jc w:val="both"/>
      </w:pPr>
      <w:r>
        <w:t xml:space="preserve">В целях </w:t>
      </w:r>
      <w:r>
        <w:rPr>
          <w:color w:val="000000"/>
        </w:rPr>
        <w:t>развити</w:t>
      </w:r>
      <w:r>
        <w:rPr>
          <w:color w:val="000000"/>
        </w:rPr>
        <w:t>я</w:t>
      </w:r>
      <w:r>
        <w:rPr>
          <w:color w:val="000000"/>
        </w:rPr>
        <w:t xml:space="preserve"> и совершенствовани</w:t>
      </w:r>
      <w:r>
        <w:rPr>
          <w:color w:val="000000"/>
        </w:rPr>
        <w:t>я</w:t>
      </w:r>
      <w:r>
        <w:rPr>
          <w:color w:val="000000"/>
        </w:rPr>
        <w:t xml:space="preserve"> муниципальной службы в Администрации  Носовского сельского поселения, а также формировани</w:t>
      </w:r>
      <w:r>
        <w:rPr>
          <w:color w:val="000000"/>
        </w:rPr>
        <w:t>я</w:t>
      </w:r>
      <w:r>
        <w:rPr>
          <w:color w:val="000000"/>
        </w:rPr>
        <w:t xml:space="preserve"> высококвалифицированного кадрового состава муниципальных служащих, обеспечивающего эффективность муниципального управления в Администрации  Носовского сельского поселения</w:t>
      </w:r>
      <w:r>
        <w:rPr>
          <w:color w:val="000000"/>
        </w:rPr>
        <w:t>,</w:t>
      </w:r>
      <w:r>
        <w:t xml:space="preserve"> в рамках реализации муниципальной программы Носовского сельского поселения «</w:t>
      </w:r>
      <w:r>
        <w:t>Муниципальная политика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61</w:t>
      </w:r>
      <w:r>
        <w:t xml:space="preserve"> (далее – муниципальная программа), ответственным</w:t>
      </w:r>
      <w:r>
        <w:t xml:space="preserve"> исполнителем и участниками муниципальной программы в </w:t>
      </w:r>
      <w:r>
        <w:t>20</w:t>
      </w:r>
      <w:r>
        <w:t>24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B000000"/>
    <w:p w14:paraId="3C000000">
      <w:pPr>
        <w:ind w:firstLine="708" w:left="0"/>
        <w:jc w:val="both"/>
        <w:rPr>
          <w:highlight w:val="yellow"/>
        </w:rPr>
      </w:pPr>
      <w:r>
        <w:t>В результате которых</w:t>
      </w:r>
      <w:r>
        <w:t xml:space="preserve">, </w:t>
      </w:r>
      <w:r>
        <w:rPr>
          <w:color w:val="000000"/>
        </w:rPr>
        <w:t>увеличена доля муниципальных служащих Администрации  Носовского</w:t>
      </w:r>
      <w:r>
        <w:rPr>
          <w:color w:val="000000"/>
        </w:rPr>
        <w:t xml:space="preserve"> сельского поселения, прошедших повышение квалификации, от общего количества муниципальных служащих Администрации  Носовского сельского поселения</w:t>
      </w:r>
      <w:r>
        <w:rPr>
          <w:color w:val="000000"/>
        </w:rPr>
        <w:t>.</w:t>
      </w:r>
    </w:p>
    <w:p w14:paraId="3D000000">
      <w:pPr>
        <w:ind/>
        <w:jc w:val="center"/>
      </w:pPr>
    </w:p>
    <w:p w14:paraId="3E000000">
      <w:pPr>
        <w:ind/>
        <w:jc w:val="center"/>
      </w:pPr>
    </w:p>
    <w:p w14:paraId="3F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40000000">
      <w:pPr>
        <w:ind/>
        <w:jc w:val="center"/>
      </w:pPr>
    </w:p>
    <w:p w14:paraId="41000000">
      <w:pPr>
        <w:ind w:firstLine="708" w:left="0"/>
      </w:pPr>
      <w:r>
        <w:t xml:space="preserve">Достижению результатов в </w:t>
      </w:r>
      <w:r>
        <w:t>2024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2000000"/>
    <w:p w14:paraId="43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rPr>
          <w:color w:val="000000"/>
        </w:rPr>
        <w:t>Развитие и совершенствование муниципальной службы в Администрации  Носовского сельского поселения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4000000">
      <w:pPr>
        <w:ind/>
        <w:jc w:val="both"/>
      </w:pPr>
      <w:r>
        <w:t xml:space="preserve">           Основное мероприятие 1.1. «</w:t>
      </w:r>
      <w:r>
        <w:rPr>
          <w:color w:val="000000"/>
        </w:rPr>
        <w:t>Организация повышения квалификации</w:t>
      </w:r>
      <w:r>
        <w:t>» не выполнено</w:t>
      </w:r>
      <w:r>
        <w:rPr>
          <w:color w:val="000000"/>
        </w:rPr>
        <w:t>, в связи с отсутствием необходимости в 2024 году.</w:t>
      </w:r>
    </w:p>
    <w:p w14:paraId="45000000">
      <w:pPr>
        <w:ind/>
        <w:jc w:val="both"/>
      </w:pPr>
      <w:r>
        <w:t xml:space="preserve">      </w:t>
      </w:r>
      <w:r>
        <w:t xml:space="preserve">Основное мероприятие </w:t>
      </w:r>
      <w:r>
        <w:t>1.2. «</w:t>
      </w:r>
      <w:r>
        <w:rPr>
          <w:color w:val="000000"/>
        </w:rPr>
        <w:t>Организация работы по эффективному использованию кадрового резерва на муниципальной службе</w:t>
      </w:r>
      <w:r>
        <w:t xml:space="preserve">» </w:t>
      </w:r>
      <w:r>
        <w:t>выполнено</w:t>
      </w:r>
      <w:r>
        <w:t>.</w:t>
      </w:r>
      <w:r>
        <w:t xml:space="preserve"> </w:t>
      </w:r>
    </w:p>
    <w:p w14:paraId="46000000">
      <w:pPr>
        <w:ind/>
        <w:jc w:val="both"/>
      </w:pPr>
    </w:p>
    <w:p w14:paraId="47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rPr>
          <w:color w:val="000000"/>
        </w:rPr>
        <w:t xml:space="preserve">Содействие развитию институтов и инициатив </w:t>
      </w:r>
      <w:r>
        <w:rPr>
          <w:color w:val="000000"/>
        </w:rPr>
        <w:t>гражданского общества</w:t>
      </w:r>
      <w:r>
        <w:t xml:space="preserve">» предусмотрена реализация </w:t>
      </w:r>
      <w:r>
        <w:t>одного</w:t>
      </w:r>
      <w:r>
        <w:t xml:space="preserve"> основн</w:t>
      </w:r>
      <w:r>
        <w:t>ого</w:t>
      </w:r>
      <w:r>
        <w:t xml:space="preserve"> мероприяти</w:t>
      </w:r>
      <w:r>
        <w:t>я</w:t>
      </w:r>
      <w:r>
        <w:t>.</w:t>
      </w:r>
    </w:p>
    <w:p w14:paraId="48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rPr>
          <w:color w:val="000000"/>
        </w:rPr>
        <w:t>Поддержка и развитие гражданских инициатив</w:t>
      </w:r>
      <w:r>
        <w:t>» выполнено.</w:t>
      </w:r>
      <w:r>
        <w:t xml:space="preserve"> </w:t>
      </w:r>
    </w:p>
    <w:p w14:paraId="49000000">
      <w:pPr>
        <w:ind w:firstLine="708" w:left="0"/>
        <w:jc w:val="both"/>
      </w:pPr>
    </w:p>
    <w:p w14:paraId="4A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B000000">
      <w:pPr>
        <w:rPr>
          <w:sz w:val="26"/>
        </w:rPr>
      </w:pPr>
    </w:p>
    <w:p w14:paraId="4C000000">
      <w:pPr>
        <w:ind/>
        <w:jc w:val="center"/>
      </w:pPr>
    </w:p>
    <w:p w14:paraId="4D000000">
      <w:pPr>
        <w:ind/>
        <w:jc w:val="center"/>
      </w:pPr>
      <w:r>
        <w:t>Раздел 3. Анализ факторов, повлиявших</w:t>
      </w:r>
    </w:p>
    <w:p w14:paraId="4E000000">
      <w:pPr>
        <w:ind/>
        <w:jc w:val="center"/>
      </w:pPr>
      <w:r>
        <w:t>на ход реализации муниципальной программы</w:t>
      </w:r>
    </w:p>
    <w:p w14:paraId="4F000000">
      <w:pPr>
        <w:ind/>
        <w:jc w:val="center"/>
      </w:pPr>
    </w:p>
    <w:p w14:paraId="50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51000000">
      <w:pPr>
        <w:ind/>
        <w:jc w:val="both"/>
      </w:pPr>
      <w:r>
        <w:tab/>
      </w:r>
    </w:p>
    <w:p w14:paraId="52000000">
      <w:pPr>
        <w:ind/>
        <w:jc w:val="center"/>
      </w:pPr>
    </w:p>
    <w:p w14:paraId="53000000">
      <w:pPr>
        <w:ind/>
        <w:jc w:val="center"/>
      </w:pPr>
      <w:r>
        <w:t>Раздел 4. Сведения об использовании бюджетных ассигнований</w:t>
      </w:r>
    </w:p>
    <w:p w14:paraId="54000000">
      <w:pPr>
        <w:ind/>
        <w:jc w:val="center"/>
      </w:pPr>
      <w:r>
        <w:t>и внебюджетных средств на реализацию муниципальной программы</w:t>
      </w:r>
    </w:p>
    <w:p w14:paraId="55000000"/>
    <w:p w14:paraId="56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4</w:t>
      </w:r>
      <w:r>
        <w:t xml:space="preserve"> год составил </w:t>
      </w:r>
      <w:r>
        <w:t xml:space="preserve">20,0 </w:t>
      </w:r>
      <w:r>
        <w:t xml:space="preserve">тыс. рублей, </w:t>
      </w:r>
    </w:p>
    <w:p w14:paraId="57000000">
      <w:r>
        <w:t>в том числе по источникам финансирования:</w:t>
      </w:r>
    </w:p>
    <w:p w14:paraId="58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9000000">
      <w:r>
        <w:t xml:space="preserve">           </w:t>
      </w:r>
    </w:p>
    <w:p w14:paraId="5A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6</w:t>
      </w:r>
      <w:r>
        <w:t>.12.20</w:t>
      </w:r>
      <w:r>
        <w:t>23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2026</w:t>
      </w:r>
      <w:r>
        <w:t xml:space="preserve"> годов»</w:t>
      </w:r>
      <w:r>
        <w:t xml:space="preserve"> с</w:t>
      </w:r>
      <w:r>
        <w:t xml:space="preserve">оставил </w:t>
      </w:r>
      <w:r>
        <w:t>20,0</w:t>
      </w:r>
      <w:r>
        <w:t xml:space="preserve"> </w:t>
      </w:r>
      <w:r>
        <w:t>тыс. рублей.</w:t>
      </w:r>
    </w:p>
    <w:p w14:paraId="5B000000">
      <w:r>
        <w:t xml:space="preserve"> В соответствии со сводной бюджетной  росписью </w:t>
      </w:r>
      <w:r>
        <w:t>-</w:t>
      </w:r>
      <w:r>
        <w:t>20,0</w:t>
      </w:r>
      <w:r>
        <w:t xml:space="preserve"> тыс. рублей, в том числе по источникам финансирования:</w:t>
      </w:r>
    </w:p>
    <w:p w14:paraId="5C000000">
      <w:r>
        <w:t xml:space="preserve">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D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0</w:t>
      </w:r>
      <w:r>
        <w:t xml:space="preserve"> </w:t>
      </w:r>
      <w:r>
        <w:t>тыс. рублей, в том числе по источникам финансирования:</w:t>
      </w:r>
    </w:p>
    <w:p w14:paraId="5E000000">
      <w:pPr>
        <w:rPr>
          <w:i w:val="1"/>
        </w:rPr>
      </w:pPr>
      <w:r>
        <w:t xml:space="preserve">           </w:t>
      </w:r>
      <w:r>
        <w:t>м</w:t>
      </w:r>
      <w:r>
        <w:t xml:space="preserve">естный бюджет - </w:t>
      </w:r>
      <w:r>
        <w:t xml:space="preserve"> </w:t>
      </w:r>
      <w:r>
        <w:t>0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5F000000">
      <w:pPr>
        <w:ind w:firstLine="708" w:left="0"/>
      </w:pPr>
      <w:r>
        <w:t>Объем неосвоенных бюджетных ассигнований бюджета поселения составил 20,0</w:t>
      </w:r>
      <w:r>
        <w:t xml:space="preserve"> </w:t>
      </w:r>
      <w:r>
        <w:t>тыс. рублей</w:t>
      </w:r>
      <w:r>
        <w:t>.</w:t>
      </w:r>
    </w:p>
    <w:p w14:paraId="60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1000000"/>
    <w:p w14:paraId="62000000">
      <w:pPr>
        <w:ind/>
        <w:jc w:val="center"/>
      </w:pPr>
    </w:p>
    <w:p w14:paraId="63000000">
      <w:pPr>
        <w:ind/>
        <w:jc w:val="center"/>
      </w:pPr>
    </w:p>
    <w:p w14:paraId="64000000">
      <w:pPr>
        <w:ind/>
        <w:jc w:val="center"/>
      </w:pPr>
    </w:p>
    <w:p w14:paraId="65000000">
      <w:pPr>
        <w:ind/>
        <w:jc w:val="center"/>
      </w:pPr>
      <w:r>
        <w:t>Раздел 5. Сведения о достижении</w:t>
      </w:r>
    </w:p>
    <w:p w14:paraId="66000000">
      <w:pPr>
        <w:ind/>
        <w:jc w:val="center"/>
      </w:pPr>
      <w:r>
        <w:t>з</w:t>
      </w:r>
      <w:r>
        <w:t>начений показателей муниципальной</w:t>
      </w:r>
    </w:p>
    <w:p w14:paraId="67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4</w:t>
      </w:r>
      <w:r>
        <w:t xml:space="preserve"> год</w:t>
      </w:r>
    </w:p>
    <w:p w14:paraId="68000000"/>
    <w:p w14:paraId="69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4</w:t>
      </w:r>
      <w:r>
        <w:t xml:space="preserve"> показател</w:t>
      </w:r>
      <w:r>
        <w:t>я</w:t>
      </w:r>
      <w:r>
        <w:t xml:space="preserve">, по </w:t>
      </w:r>
      <w:r>
        <w:t>2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1</w:t>
      </w:r>
      <w:r>
        <w:t xml:space="preserve"> показател</w:t>
      </w:r>
      <w:r>
        <w:t>ю</w:t>
      </w:r>
      <w:r>
        <w:t xml:space="preserve"> фактически</w:t>
      </w:r>
      <w:r>
        <w:t xml:space="preserve"> </w:t>
      </w:r>
      <w:r>
        <w:t>значения превышают плановые, по 1 показателю неисполнение плана.</w:t>
      </w:r>
    </w:p>
    <w:p w14:paraId="6A000000"/>
    <w:p w14:paraId="6B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rPr>
          <w:color w:val="000000"/>
        </w:rPr>
        <w:t>доля муниципальных служащих Администрации Носовского сельского поселения, прошедших повышение квалификации, о</w:t>
      </w:r>
      <w:r>
        <w:rPr>
          <w:color w:val="000000"/>
        </w:rPr>
        <w:t xml:space="preserve">т общего количества муниципальных служащих Администрации </w:t>
      </w:r>
      <w:r>
        <w:rPr>
          <w:color w:val="000000"/>
        </w:rPr>
        <w:t>Носовского сельского поселения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15%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0</w:t>
      </w:r>
      <w:r>
        <w:rPr>
          <w:i w:val="1"/>
        </w:rPr>
        <w:t>%</w:t>
      </w:r>
      <w:r>
        <w:rPr>
          <w:i w:val="1"/>
        </w:rPr>
        <w:t>.</w:t>
      </w:r>
    </w:p>
    <w:p w14:paraId="6C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rPr>
          <w:color w:val="000000"/>
          <w:highlight w:val="white"/>
        </w:rPr>
        <w:t>уровень социальной активности населения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- 10%</w:t>
      </w:r>
      <w:r>
        <w:rPr>
          <w:i w:val="1"/>
        </w:rPr>
        <w:t>, фактическое значение</w:t>
      </w:r>
      <w:r>
        <w:rPr>
          <w:i w:val="1"/>
        </w:rPr>
        <w:t>-1</w:t>
      </w:r>
      <w:r>
        <w:rPr>
          <w:i w:val="1"/>
        </w:rPr>
        <w:t>0</w:t>
      </w:r>
      <w:r>
        <w:rPr>
          <w:i w:val="1"/>
        </w:rPr>
        <w:t>%.</w:t>
      </w:r>
    </w:p>
    <w:p w14:paraId="6D000000">
      <w:pPr>
        <w:ind w:firstLine="708" w:left="0"/>
        <w:jc w:val="both"/>
        <w:rPr>
          <w:i w:val="1"/>
        </w:rPr>
      </w:pPr>
      <w:r>
        <w:t>Показатель 1.1. «</w:t>
      </w:r>
      <w:r>
        <w:rPr>
          <w:color w:val="000000"/>
        </w:rPr>
        <w:t>Доля муниципальных служащих, прошедших обучение  по программе дополнительного профессионального образования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15%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>16,7</w:t>
      </w:r>
      <w:r>
        <w:rPr>
          <w:i w:val="1"/>
        </w:rPr>
        <w:t>%</w:t>
      </w:r>
      <w:r>
        <w:rPr>
          <w:i w:val="1"/>
        </w:rPr>
        <w:t>.</w:t>
      </w:r>
    </w:p>
    <w:p w14:paraId="6E000000">
      <w:pPr>
        <w:ind w:firstLine="708" w:left="0"/>
        <w:jc w:val="both"/>
        <w:rPr>
          <w:i w:val="1"/>
        </w:rPr>
      </w:pPr>
      <w:r>
        <w:t>Показатель 2.1. «</w:t>
      </w:r>
      <w:r>
        <w:rPr>
          <w:color w:val="000000"/>
        </w:rPr>
        <w:t>прирост количества гражданских активистов, участвующих в деятельности органов местного самоуправления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10</w:t>
      </w:r>
      <w:r>
        <w:rPr>
          <w:i w:val="1"/>
        </w:rPr>
        <w:t xml:space="preserve"> %, фактическое значение – </w:t>
      </w:r>
      <w:r>
        <w:rPr>
          <w:i w:val="1"/>
        </w:rPr>
        <w:t>10</w:t>
      </w:r>
      <w:r>
        <w:rPr>
          <w:i w:val="1"/>
        </w:rPr>
        <w:t>%.</w:t>
      </w:r>
    </w:p>
    <w:p w14:paraId="6F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70000000">
      <w:pPr>
        <w:ind/>
        <w:jc w:val="center"/>
      </w:pPr>
    </w:p>
    <w:p w14:paraId="71000000">
      <w:pPr>
        <w:ind/>
        <w:jc w:val="center"/>
      </w:pPr>
      <w:r>
        <w:t>Раздел 6. Результаты оценки</w:t>
      </w:r>
    </w:p>
    <w:p w14:paraId="72000000">
      <w:pPr>
        <w:ind/>
        <w:jc w:val="center"/>
      </w:pPr>
      <w:r>
        <w:t>Эффективности реализации муниципальной программы</w:t>
      </w:r>
    </w:p>
    <w:p w14:paraId="73000000">
      <w:r>
        <w:t xml:space="preserve">       </w:t>
      </w:r>
    </w:p>
    <w:p w14:paraId="74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5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6000000">
      <w:pPr>
        <w:ind/>
        <w:jc w:val="both"/>
      </w:pPr>
      <w:r>
        <w:t>подпрограмм муниципальной программы:</w:t>
      </w:r>
    </w:p>
    <w:p w14:paraId="77000000">
      <w:pPr>
        <w:ind/>
        <w:jc w:val="both"/>
      </w:pPr>
      <w:r>
        <w:t xml:space="preserve">       степень достижения целевого показателя</w:t>
      </w:r>
      <w:r>
        <w:t xml:space="preserve"> 1</w:t>
      </w:r>
      <w:r>
        <w:t>.</w:t>
      </w:r>
      <w:r>
        <w:t xml:space="preserve"> </w:t>
      </w:r>
      <w:r>
        <w:t>«</w:t>
      </w:r>
      <w:r>
        <w:rPr>
          <w:color w:val="000000"/>
        </w:rPr>
        <w:t>доля муниципальных служащих Администрации Носовского сельского поселения, прошедших повышение квалификации, о</w:t>
      </w:r>
      <w:r>
        <w:rPr>
          <w:color w:val="000000"/>
        </w:rPr>
        <w:t xml:space="preserve">т общего количества муниципальных служащих Администрации </w:t>
      </w:r>
      <w:r>
        <w:rPr>
          <w:color w:val="000000"/>
        </w:rPr>
        <w:t>Носовского сельского поселения</w:t>
      </w:r>
      <w:r>
        <w:t xml:space="preserve">» </w:t>
      </w:r>
      <w:r>
        <w:t>-</w:t>
      </w:r>
      <w:r>
        <w:t>0</w:t>
      </w:r>
      <w:r>
        <w:t>;</w:t>
      </w:r>
    </w:p>
    <w:p w14:paraId="78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rPr>
          <w:color w:val="000000"/>
          <w:highlight w:val="white"/>
        </w:rPr>
        <w:t>уровень социальной активности населения</w:t>
      </w:r>
      <w:r>
        <w:t>»</w:t>
      </w:r>
      <w:r>
        <w:t xml:space="preserve"> - </w:t>
      </w:r>
      <w:r>
        <w:t>1,</w:t>
      </w:r>
      <w:r>
        <w:t>0</w:t>
      </w:r>
      <w:r>
        <w:t>;</w:t>
      </w:r>
    </w:p>
    <w:p w14:paraId="79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rPr>
          <w:color w:val="000000"/>
        </w:rPr>
        <w:t>Доля муниципальных служащих, прошедших обучение  по программе дополнительного профессионального образования</w:t>
      </w:r>
      <w:r>
        <w:t>»</w:t>
      </w:r>
      <w:r>
        <w:t xml:space="preserve"> -</w:t>
      </w:r>
      <w:r>
        <w:t>1,11</w:t>
      </w:r>
      <w:r>
        <w:t>;</w:t>
      </w:r>
    </w:p>
    <w:p w14:paraId="7A000000">
      <w:pPr>
        <w:ind/>
        <w:jc w:val="both"/>
      </w:pPr>
      <w:r>
        <w:t xml:space="preserve">       </w:t>
      </w:r>
      <w:r>
        <w:t xml:space="preserve">степень достижения целевого показателя </w:t>
      </w:r>
      <w:r>
        <w:t>2.1. «</w:t>
      </w:r>
      <w:r>
        <w:rPr>
          <w:color w:val="000000"/>
        </w:rPr>
        <w:t>прирост количества гражданских активистов, участвующих в деятельности органов местного самоуправления</w:t>
      </w:r>
      <w:r>
        <w:t>»</w:t>
      </w:r>
      <w:r>
        <w:t xml:space="preserve"> - </w:t>
      </w:r>
      <w:r>
        <w:t>1,0.</w:t>
      </w:r>
    </w:p>
    <w:p w14:paraId="7B000000">
      <w:pPr>
        <w:ind/>
        <w:jc w:val="both"/>
      </w:pPr>
      <w:r>
        <w:t xml:space="preserve">  </w:t>
      </w:r>
      <w:r>
        <w:t xml:space="preserve">       </w:t>
      </w:r>
      <w:r>
        <w:t xml:space="preserve">Суммарная оценка степени достижения целевых показателей муниципальной программы составляет </w:t>
      </w:r>
      <w:r>
        <w:t>0,75</w:t>
      </w:r>
      <w:r>
        <w:t xml:space="preserve"> 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4</w:t>
      </w:r>
      <w:r>
        <w:t>), что характеризует низкий</w:t>
      </w:r>
      <w:r>
        <w:t xml:space="preserve"> </w:t>
      </w:r>
      <w:r>
        <w:t>уровень эффективности реализации муниципальной</w:t>
      </w:r>
      <w:r>
        <w:t xml:space="preserve"> программы по степени достижения целевых показателей.</w:t>
      </w:r>
    </w:p>
    <w:p w14:paraId="7C000000">
      <w:pPr>
        <w:ind/>
        <w:jc w:val="both"/>
      </w:pPr>
      <w:r>
        <w:t xml:space="preserve">        2. Степень реализации основных мероприятий, приоритетных основных мероприя</w:t>
      </w:r>
      <w:r>
        <w:t>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D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0,7</w:t>
      </w:r>
      <w:r>
        <w:t xml:space="preserve"> </w:t>
      </w:r>
      <w:r>
        <w:t>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низкий</w:t>
      </w:r>
      <w:r>
        <w:t xml:space="preserve"> </w:t>
      </w:r>
      <w:r>
        <w:t>уровень эффективности реализации</w:t>
      </w:r>
      <w:r>
        <w:t xml:space="preserve">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E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F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0000000">
      <w:pPr>
        <w:ind/>
        <w:jc w:val="both"/>
        <w:rPr>
          <w:i w:val="1"/>
        </w:rPr>
      </w:pPr>
      <w:r>
        <w:t xml:space="preserve">       </w:t>
      </w:r>
      <w:r>
        <w:t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0,7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1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2000000">
      <w:r>
        <w:t xml:space="preserve">       Степень соответствия запланированному уровню расходов:</w:t>
      </w:r>
    </w:p>
    <w:p w14:paraId="83000000">
      <w:r>
        <w:t>0</w:t>
      </w:r>
      <w:r>
        <w:t xml:space="preserve"> тыс. рублей / </w:t>
      </w:r>
      <w:r>
        <w:t>20,0</w:t>
      </w:r>
      <w:r>
        <w:t xml:space="preserve"> тыс. рублей = </w:t>
      </w:r>
      <w:r>
        <w:t>0</w:t>
      </w:r>
      <w:r>
        <w:t>.</w:t>
      </w:r>
    </w:p>
    <w:p w14:paraId="84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5000000">
      <w:r>
        <w:t xml:space="preserve">      Эффективность использования финансовых ресурсов на реализацию </w:t>
      </w:r>
      <w:r>
        <w:t>муниципальной программы:</w:t>
      </w:r>
    </w:p>
    <w:p w14:paraId="86000000">
      <w:pPr>
        <w:ind/>
        <w:jc w:val="both"/>
      </w:pPr>
      <w:r>
        <w:t xml:space="preserve">      </w:t>
      </w:r>
      <w:r>
        <w:t>0</w:t>
      </w:r>
      <w:r>
        <w:t>, в связи с чем</w:t>
      </w:r>
      <w:r>
        <w:t>,</w:t>
      </w:r>
      <w:r>
        <w:t xml:space="preserve"> бюджетная эффективность реализации</w:t>
      </w:r>
      <w:r>
        <w:t xml:space="preserve"> муниципальной программы является низкой</w:t>
      </w:r>
      <w:r>
        <w:t>.</w:t>
      </w:r>
    </w:p>
    <w:p w14:paraId="87000000">
      <w:pPr>
        <w:ind w:firstLine="708" w:left="0"/>
      </w:pPr>
      <w:r>
        <w:t>Уровень реализации муниципальной Программы в целом:</w:t>
      </w:r>
    </w:p>
    <w:p w14:paraId="88000000">
      <w:pPr>
        <w:ind/>
        <w:jc w:val="both"/>
      </w:pPr>
      <w:r>
        <w:t>0,75</w:t>
      </w:r>
      <w:r>
        <w:t xml:space="preserve"> х 0,5 + </w:t>
      </w:r>
      <w:r>
        <w:t>0,7</w:t>
      </w:r>
      <w:r>
        <w:t xml:space="preserve"> </w:t>
      </w:r>
      <w:r>
        <w:t>x</w:t>
      </w:r>
      <w:r>
        <w:t xml:space="preserve"> 0,3 + </w:t>
      </w:r>
      <w:r>
        <w:t xml:space="preserve">0 </w:t>
      </w:r>
      <w:r>
        <w:t>x</w:t>
      </w:r>
      <w:r>
        <w:t xml:space="preserve"> 0,2 =</w:t>
      </w:r>
      <w:r>
        <w:t>0,6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низким</w:t>
      </w:r>
      <w:r>
        <w:t>.</w:t>
      </w:r>
    </w:p>
    <w:p w14:paraId="89000000">
      <w:pPr>
        <w:ind/>
        <w:jc w:val="both"/>
        <w:rPr>
          <w:i w:val="1"/>
        </w:rPr>
      </w:pPr>
    </w:p>
    <w:p w14:paraId="8A000000">
      <w:pPr>
        <w:ind/>
        <w:jc w:val="center"/>
      </w:pPr>
    </w:p>
    <w:p w14:paraId="8B000000">
      <w:pPr>
        <w:ind/>
        <w:jc w:val="center"/>
      </w:pPr>
      <w:r>
        <w:t>Раздел 7. Предложения по дальнейшей</w:t>
      </w:r>
    </w:p>
    <w:p w14:paraId="8C000000">
      <w:pPr>
        <w:ind/>
        <w:jc w:val="center"/>
      </w:pPr>
      <w:r>
        <w:t>реализации муниципальной программы</w:t>
      </w:r>
    </w:p>
    <w:p w14:paraId="8D000000">
      <w:pPr>
        <w:ind/>
        <w:jc w:val="center"/>
      </w:pPr>
    </w:p>
    <w:p w14:paraId="8E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F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90000000">
      <w:pPr>
        <w:ind/>
        <w:jc w:val="both"/>
      </w:pPr>
    </w:p>
    <w:p w14:paraId="91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92000000">
      <w:pPr>
        <w:ind/>
        <w:jc w:val="both"/>
        <w:rPr>
          <w:i w:val="1"/>
        </w:rPr>
      </w:pPr>
      <w:r>
        <w:rPr>
          <w:i w:val="1"/>
        </w:rPr>
        <w:t xml:space="preserve">  .</w:t>
      </w:r>
    </w:p>
    <w:p w14:paraId="93000000">
      <w:pPr>
        <w:sectPr>
          <w:headerReference r:id="rId2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94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5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6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97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8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азвитие и совершенствование муниципальной службы в Администрации 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8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повышения квалификации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% муниципальных служащих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20</w:t>
            </w:r>
            <w:r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году повышение квалификации </w:t>
            </w:r>
            <w:r>
              <w:rPr>
                <w:sz w:val="20"/>
              </w:rPr>
              <w:t>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C2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работы по эффективному использованию кадрового резерва на муниципальной службе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Эффективное использование кадрового резерва приводит к увеличению уровня эффективности деятельности муниципальных служащих, повышению карьерного роста,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Эффективное использование кадрового резерва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одействие развитию институтов и инициатив гражданского общества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</w:p>
          <w:p w14:paraId="D5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Поддержка и развитие гражданских инициатив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DD000000">
      <w:pPr>
        <w:widowControl w:val="0"/>
        <w:ind/>
        <w:jc w:val="both"/>
        <w:rPr>
          <w:sz w:val="24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DE000000">
      <w:pPr>
        <w:sectPr>
          <w:headerReference r:id="rId1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DF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0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1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2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3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4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E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EC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3000000">
            <w:pPr>
              <w:pStyle w:val="Style_4"/>
              <w:rPr>
                <w:sz w:val="20"/>
              </w:rPr>
            </w:pPr>
            <w:r>
              <w:t>«</w:t>
            </w:r>
            <w:r>
              <w:t>Муниципальная политика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7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5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и совершенствование муниципальной службы в Администрации  Носовского сельского поселения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7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Совершенствование существующих и выработка новых механизмов взаимодействия органов местного самоуправления и институтов гражданского общества в реализации социально-экономической политики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8010000">
      <w:pPr>
        <w:sectPr>
          <w:headerReference r:id="rId3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59010000">
      <w:pPr>
        <w:widowControl w:val="0"/>
        <w:ind/>
        <w:jc w:val="right"/>
        <w:outlineLvl w:val="1"/>
        <w:rPr>
          <w:sz w:val="24"/>
        </w:rPr>
      </w:pPr>
    </w:p>
    <w:p w14:paraId="5A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5B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5C010000">
      <w:pPr>
        <w:widowControl w:val="0"/>
        <w:ind w:firstLine="540" w:left="0"/>
        <w:jc w:val="both"/>
        <w:rPr>
          <w:sz w:val="24"/>
        </w:rPr>
      </w:pPr>
    </w:p>
    <w:p w14:paraId="5D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5E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5"/>
        <w:gridCol w:w="5544"/>
        <w:gridCol w:w="1395"/>
        <w:gridCol w:w="2027"/>
        <w:gridCol w:w="1130"/>
        <w:gridCol w:w="1075"/>
        <w:gridCol w:w="2296"/>
      </w:tblGrid>
      <w:tr>
        <w:tc>
          <w:tcPr>
            <w:tcW w:type="dxa" w:w="7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2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2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7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20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Муниципальная политика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оля муниципальных служащих Администрации Носовского сельского поселения, прошедших повышение квалификации, о</w:t>
            </w:r>
            <w:r>
              <w:rPr>
                <w:color w:val="000000"/>
                <w:sz w:val="24"/>
              </w:rPr>
              <w:t xml:space="preserve">т общего количества муниципальных служащих Администрации </w:t>
            </w:r>
            <w:r>
              <w:rPr>
                <w:color w:val="000000"/>
                <w:sz w:val="24"/>
              </w:rPr>
              <w:t>Носовского сельского поселения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</w:pP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7F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color w:val="000000"/>
                <w:sz w:val="24"/>
                <w:highlight w:val="white"/>
              </w:rPr>
              <w:t>уровень социальной активности населения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4"/>
              <w:ind/>
              <w:jc w:val="center"/>
            </w:pPr>
            <w:r>
              <w:t>10,0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азвитие и совершенствование муниципальной службы в Администрации 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89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color w:val="000000"/>
                <w:sz w:val="24"/>
              </w:rPr>
              <w:t>Доля муниципальных служащих, прошедших обучение  по программе дополнительного профессионального образования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</w:pPr>
            <w:r>
              <w:t>16,7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одействие развитию институтов и инициатив гражданского общества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color w:val="000000"/>
                <w:sz w:val="24"/>
              </w:rPr>
              <w:t>прирост количества гражданских активистов, участвующих в деятельности органов местного самоуправления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4"/>
              <w:ind/>
              <w:jc w:val="center"/>
            </w:pPr>
            <w:r>
              <w:t>10,0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4"/>
              <w:rPr>
                <w:sz w:val="20"/>
              </w:rPr>
            </w:pPr>
          </w:p>
        </w:tc>
      </w:tr>
    </w:tbl>
    <w:p w14:paraId="98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sectPr>
      <w:headerReference r:id="rId4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alloon Text"/>
    <w:basedOn w:val="Style_7"/>
    <w:link w:val="Style_9_ch"/>
    <w:rPr>
      <w:rFonts w:ascii="Tahoma" w:hAnsi="Tahoma"/>
      <w:sz w:val="16"/>
    </w:rPr>
  </w:style>
  <w:style w:styleId="Style_9_ch" w:type="character">
    <w:name w:val="Balloon Text"/>
    <w:basedOn w:val="Style_7_ch"/>
    <w:link w:val="Style_9"/>
    <w:rPr>
      <w:rFonts w:ascii="Tahoma" w:hAnsi="Tahoma"/>
      <w:sz w:val="16"/>
    </w:rPr>
  </w:style>
  <w:style w:styleId="Style_10" w:type="paragraph">
    <w:name w:val="footer"/>
    <w:basedOn w:val="Style_7"/>
    <w:link w:val="Style_10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0_ch" w:type="character">
    <w:name w:val="footer"/>
    <w:basedOn w:val="Style_7_ch"/>
    <w:link w:val="Style_10"/>
    <w:rPr>
      <w:rFonts w:ascii="Calibri" w:hAnsi="Calibri"/>
      <w:sz w:val="22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Знак1"/>
    <w:basedOn w:val="Style_7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Знак1"/>
    <w:basedOn w:val="Style_7_ch"/>
    <w:link w:val="Style_14"/>
    <w:rPr>
      <w:rFonts w:ascii="Tahoma" w:hAnsi="Tahoma"/>
      <w:sz w:val="20"/>
    </w:rPr>
  </w:style>
  <w:style w:styleId="Style_15" w:type="paragraph">
    <w:name w:val="Body Text Indent 3"/>
    <w:basedOn w:val="Style_7"/>
    <w:link w:val="Style_15_ch"/>
    <w:pPr>
      <w:ind w:firstLine="709" w:left="0"/>
      <w:jc w:val="both"/>
    </w:pPr>
  </w:style>
  <w:style w:styleId="Style_15_ch" w:type="character">
    <w:name w:val="Body Text Indent 3"/>
    <w:basedOn w:val="Style_7_ch"/>
    <w:link w:val="Style_15"/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ind/>
      <w:jc w:val="both"/>
      <w:outlineLvl w:val="2"/>
    </w:pPr>
    <w:rPr>
      <w:b w:val="1"/>
    </w:rPr>
  </w:style>
  <w:style w:styleId="Style_16_ch" w:type="character">
    <w:name w:val="heading 3"/>
    <w:basedOn w:val="Style_7_ch"/>
    <w:link w:val="Style_16"/>
    <w:rPr>
      <w:b w:val="1"/>
    </w:rPr>
  </w:style>
  <w:style w:styleId="Style_17" w:type="paragraph">
    <w:name w:val="Абзац списка"/>
    <w:basedOn w:val="Style_7"/>
    <w:link w:val="Style_1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_ch" w:type="character">
    <w:name w:val="Абзац списка"/>
    <w:basedOn w:val="Style_7_ch"/>
    <w:link w:val="Style_17"/>
    <w:rPr>
      <w:rFonts w:ascii="Calibri" w:hAnsi="Calibri"/>
      <w:sz w:val="22"/>
    </w:rPr>
  </w:style>
  <w:style w:styleId="Style_18" w:type="paragraph">
    <w:name w:val="Знак11"/>
    <w:basedOn w:val="Style_7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Знак11"/>
    <w:basedOn w:val="Style_7_ch"/>
    <w:link w:val="Style_18"/>
    <w:rPr>
      <w:rFonts w:ascii="Tahoma" w:hAnsi="Tahoma"/>
      <w:sz w:val="20"/>
    </w:rPr>
  </w:style>
  <w:style w:styleId="Style_19" w:type="paragraph">
    <w:name w:val="Postan"/>
    <w:basedOn w:val="Style_7"/>
    <w:link w:val="Style_19_ch"/>
    <w:pPr>
      <w:ind/>
      <w:jc w:val="center"/>
    </w:pPr>
  </w:style>
  <w:style w:styleId="Style_19_ch" w:type="character">
    <w:name w:val="Postan"/>
    <w:basedOn w:val="Style_7_ch"/>
    <w:link w:val="Style_19"/>
  </w:style>
  <w:style w:styleId="Style_20" w:type="paragraph">
    <w:name w:val="Body Text"/>
    <w:basedOn w:val="Style_7"/>
    <w:link w:val="Style_20_ch"/>
    <w:pPr>
      <w:ind/>
      <w:jc w:val="both"/>
    </w:pPr>
  </w:style>
  <w:style w:styleId="Style_20_ch" w:type="character">
    <w:name w:val="Body Text"/>
    <w:basedOn w:val="Style_7_ch"/>
    <w:link w:val="Style_20"/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21" w:type="paragraph">
    <w:name w:val="Нормальный (таблица)"/>
    <w:basedOn w:val="Style_7"/>
    <w:next w:val="Style_7"/>
    <w:link w:val="Style_21_ch"/>
    <w:pPr>
      <w:widowControl w:val="0"/>
      <w:ind/>
      <w:jc w:val="both"/>
    </w:pPr>
    <w:rPr>
      <w:rFonts w:ascii="Arial" w:hAnsi="Arial"/>
      <w:sz w:val="24"/>
    </w:rPr>
  </w:style>
  <w:style w:styleId="Style_21_ch" w:type="character">
    <w:name w:val="Нормальный (таблица)"/>
    <w:basedOn w:val="Style_7_ch"/>
    <w:link w:val="Style_21"/>
    <w:rPr>
      <w:rFonts w:ascii="Arial" w:hAnsi="Arial"/>
      <w:sz w:val="24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22" w:type="paragraph">
    <w:name w:val=" Знак Знак9"/>
    <w:link w:val="Style_22_ch"/>
    <w:rPr>
      <w:sz w:val="28"/>
    </w:rPr>
  </w:style>
  <w:style w:styleId="Style_22_ch" w:type="character">
    <w:name w:val=" Знак Знак9"/>
    <w:link w:val="Style_22"/>
    <w:rPr>
      <w:sz w:val="28"/>
    </w:rPr>
  </w:style>
  <w:style w:styleId="Style_23" w:type="paragraph">
    <w:name w:val=" Знак"/>
    <w:basedOn w:val="Style_7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 Знак"/>
    <w:basedOn w:val="Style_7_ch"/>
    <w:link w:val="Style_23"/>
    <w:rPr>
      <w:rFonts w:ascii="Tahoma" w:hAnsi="Tahoma"/>
      <w:sz w:val="20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ConsNonformat"/>
    <w:link w:val="Style_25_ch"/>
    <w:pPr>
      <w:widowControl w:val="0"/>
      <w:ind w:right="19772"/>
    </w:pPr>
    <w:rPr>
      <w:rFonts w:ascii="Courier New" w:hAnsi="Courier New"/>
      <w:sz w:val="22"/>
    </w:rPr>
  </w:style>
  <w:style w:styleId="Style_25_ch" w:type="character">
    <w:name w:val="ConsNonformat"/>
    <w:link w:val="Style_25"/>
    <w:rPr>
      <w:rFonts w:ascii="Courier New" w:hAnsi="Courier New"/>
      <w:sz w:val="22"/>
    </w:rPr>
  </w:style>
  <w:style w:styleId="Style_26" w:type="paragraph">
    <w:name w:val="heading 5"/>
    <w:basedOn w:val="Style_7"/>
    <w:next w:val="Style_7"/>
    <w:link w:val="Style_26_ch"/>
    <w:uiPriority w:val="9"/>
    <w:qFormat/>
    <w:pPr>
      <w:keepNext w:val="1"/>
      <w:ind/>
      <w:jc w:val="both"/>
      <w:outlineLvl w:val="4"/>
    </w:pPr>
    <w:rPr>
      <w:b w:val="1"/>
    </w:rPr>
  </w:style>
  <w:style w:styleId="Style_26_ch" w:type="character">
    <w:name w:val="heading 5"/>
    <w:basedOn w:val="Style_7_ch"/>
    <w:link w:val="Style_26"/>
    <w:rPr>
      <w:b w:val="1"/>
    </w:rPr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7_ch" w:type="character">
    <w:name w:val="heading 1"/>
    <w:basedOn w:val="Style_7_ch"/>
    <w:link w:val="Style_27"/>
    <w:rPr>
      <w:b w:val="1"/>
      <w:sz w:val="32"/>
    </w:rPr>
  </w:style>
  <w:style w:styleId="Style_28" w:type="paragraph">
    <w:name w:val="No Spacing"/>
    <w:link w:val="Style_28_ch"/>
    <w:rPr>
      <w:rFonts w:ascii="Calibri" w:hAnsi="Calibri"/>
      <w:sz w:val="22"/>
    </w:rPr>
  </w:style>
  <w:style w:styleId="Style_28_ch" w:type="character">
    <w:name w:val="No Spacing"/>
    <w:link w:val="Style_28"/>
    <w:rPr>
      <w:rFonts w:ascii="Calibri" w:hAnsi="Calibri"/>
      <w:sz w:val="22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 Знак1"/>
    <w:basedOn w:val="Style_7"/>
    <w:link w:val="Style_30_ch"/>
    <w:pPr>
      <w:spacing w:afterAutospacing="on" w:beforeAutospacing="on"/>
      <w:ind/>
    </w:pPr>
    <w:rPr>
      <w:rFonts w:ascii="Tahoma" w:hAnsi="Tahoma"/>
      <w:sz w:val="20"/>
    </w:rPr>
  </w:style>
  <w:style w:styleId="Style_30_ch" w:type="character">
    <w:name w:val=" Знак1"/>
    <w:basedOn w:val="Style_7_ch"/>
    <w:link w:val="Style_30"/>
    <w:rPr>
      <w:rFonts w:ascii="Tahoma" w:hAnsi="Tahoma"/>
      <w:sz w:val="20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7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Без интервала"/>
    <w:link w:val="Style_34_ch"/>
    <w:rPr>
      <w:rFonts w:ascii="Calibri" w:hAnsi="Calibri"/>
      <w:sz w:val="22"/>
    </w:rPr>
  </w:style>
  <w:style w:styleId="Style_34_ch" w:type="character">
    <w:name w:val="Без интервала"/>
    <w:link w:val="Style_34"/>
    <w:rPr>
      <w:rFonts w:ascii="Calibri" w:hAnsi="Calibri"/>
      <w:sz w:val="22"/>
    </w:rPr>
  </w:style>
  <w:style w:styleId="Style_35" w:type="paragraph">
    <w:name w:val="page number"/>
    <w:basedOn w:val="Style_29"/>
    <w:link w:val="Style_35_ch"/>
  </w:style>
  <w:style w:styleId="Style_35_ch" w:type="character">
    <w:name w:val="page number"/>
    <w:basedOn w:val="Style_29_ch"/>
    <w:link w:val="Style_35"/>
  </w:style>
  <w:style w:styleId="Style_36" w:type="paragraph">
    <w:name w:val="Основной текст5"/>
    <w:basedOn w:val="Style_7"/>
    <w:link w:val="Style_36_ch"/>
    <w:pPr>
      <w:widowControl w:val="0"/>
      <w:spacing w:line="202" w:lineRule="exact"/>
      <w:ind/>
    </w:pPr>
    <w:rPr>
      <w:sz w:val="18"/>
      <w:highlight w:val="white"/>
    </w:rPr>
  </w:style>
  <w:style w:styleId="Style_36_ch" w:type="character">
    <w:name w:val="Основной текст5"/>
    <w:basedOn w:val="Style_7_ch"/>
    <w:link w:val="Style_36"/>
    <w:rPr>
      <w:sz w:val="18"/>
      <w:highlight w:val="white"/>
    </w:rPr>
  </w:style>
  <w:style w:styleId="Style_37" w:type="paragraph">
    <w:name w:val="toc 9"/>
    <w:next w:val="Style_7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Основной текст с отступом 21"/>
    <w:basedOn w:val="Style_7"/>
    <w:link w:val="Style_40_ch"/>
    <w:pPr>
      <w:ind w:firstLine="567" w:left="0"/>
      <w:jc w:val="both"/>
    </w:pPr>
    <w:rPr>
      <w:sz w:val="24"/>
    </w:rPr>
  </w:style>
  <w:style w:styleId="Style_40_ch" w:type="character">
    <w:name w:val="Основной текст с отступом 21"/>
    <w:basedOn w:val="Style_7_ch"/>
    <w:link w:val="Style_40"/>
    <w:rPr>
      <w:sz w:val="24"/>
    </w:rPr>
  </w:style>
  <w:style w:styleId="Style_41" w:type="paragraph">
    <w:name w:val="Font Style11"/>
    <w:link w:val="Style_41_ch"/>
    <w:rPr>
      <w:rFonts w:ascii="Times New Roman" w:hAnsi="Times New Roman"/>
      <w:sz w:val="22"/>
    </w:rPr>
  </w:style>
  <w:style w:styleId="Style_41_ch" w:type="character">
    <w:name w:val="Font Style11"/>
    <w:link w:val="Style_41"/>
    <w:rPr>
      <w:rFonts w:ascii="Times New Roman" w:hAnsi="Times New Roman"/>
      <w:sz w:val="22"/>
    </w:rPr>
  </w:style>
  <w:style w:styleId="Style_42" w:type="paragraph">
    <w:name w:val="ConsPlu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Subtitle"/>
    <w:next w:val="Style_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Body Text Indent 2"/>
    <w:basedOn w:val="Style_7"/>
    <w:link w:val="Style_44_ch"/>
    <w:pPr>
      <w:spacing w:line="360" w:lineRule="auto"/>
      <w:ind w:firstLine="720" w:left="0"/>
    </w:pPr>
  </w:style>
  <w:style w:styleId="Style_44_ch" w:type="character">
    <w:name w:val="Body Text Indent 2"/>
    <w:basedOn w:val="Style_7_ch"/>
    <w:link w:val="Style_44"/>
  </w:style>
  <w:style w:styleId="Style_45" w:type="paragraph">
    <w:name w:val="Title"/>
    <w:basedOn w:val="Style_7"/>
    <w:link w:val="Style_45_ch"/>
    <w:uiPriority w:val="10"/>
    <w:qFormat/>
    <w:pPr>
      <w:ind/>
      <w:jc w:val="center"/>
    </w:pPr>
  </w:style>
  <w:style w:styleId="Style_45_ch" w:type="character">
    <w:name w:val="Title"/>
    <w:basedOn w:val="Style_7_ch"/>
    <w:link w:val="Style_45"/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46" w:type="paragraph">
    <w:name w:val="heading 4"/>
    <w:basedOn w:val="Style_7"/>
    <w:next w:val="Style_7"/>
    <w:link w:val="Style_46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6_ch" w:type="character">
    <w:name w:val="heading 4"/>
    <w:basedOn w:val="Style_7_ch"/>
    <w:link w:val="Style_46"/>
    <w:rPr>
      <w:b w:val="1"/>
    </w:rPr>
  </w:style>
  <w:style w:styleId="Style_47" w:type="paragraph">
    <w:name w:val="Body Text Indent"/>
    <w:basedOn w:val="Style_7"/>
    <w:link w:val="Style_47_ch"/>
    <w:pPr>
      <w:ind w:firstLine="1134" w:left="0"/>
      <w:jc w:val="both"/>
    </w:pPr>
  </w:style>
  <w:style w:styleId="Style_47_ch" w:type="character">
    <w:name w:val="Body Text Indent"/>
    <w:basedOn w:val="Style_7_ch"/>
    <w:link w:val="Style_47"/>
  </w:style>
  <w:style w:styleId="Style_48" w:type="paragraph">
    <w:name w:val="heading 2"/>
    <w:basedOn w:val="Style_7"/>
    <w:next w:val="Style_7"/>
    <w:link w:val="Style_48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8_ch" w:type="character">
    <w:name w:val="heading 2"/>
    <w:basedOn w:val="Style_7_ch"/>
    <w:link w:val="Style_48"/>
    <w:rPr>
      <w:b w:val="1"/>
    </w:rPr>
  </w:style>
  <w:style w:styleId="Style_49" w:type="paragraph">
    <w:name w:val="Гипертекстовая ссылка"/>
    <w:link w:val="Style_49_ch"/>
    <w:rPr>
      <w:color w:val="106BBE"/>
      <w:sz w:val="26"/>
    </w:rPr>
  </w:style>
  <w:style w:styleId="Style_49_ch" w:type="character">
    <w:name w:val="Гипертекстовая ссылка"/>
    <w:link w:val="Style_49"/>
    <w:rPr>
      <w:color w:val="106BBE"/>
      <w:sz w:val="26"/>
    </w:rPr>
  </w:style>
  <w:style w:styleId="Style_50" w:type="paragraph">
    <w:name w:val="ConsPlusNonformat"/>
    <w:link w:val="Style_50_ch"/>
    <w:pPr>
      <w:widowControl w:val="0"/>
      <w:ind/>
    </w:pPr>
    <w:rPr>
      <w:rFonts w:ascii="Courier New" w:hAnsi="Courier New"/>
    </w:rPr>
  </w:style>
  <w:style w:styleId="Style_50_ch" w:type="character">
    <w:name w:val="ConsPlusNonformat"/>
    <w:link w:val="Style_50"/>
    <w:rPr>
      <w:rFonts w:ascii="Courier New" w:hAnsi="Courier New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2025-03-11T10:43:47Z</dcterms:modified>
</cp:coreProperties>
</file>