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3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283"/>
        <w:gridCol w:w="3118"/>
      </w:tblGrid>
      <w:tr>
        <w:trPr>
          <w:trHeight w:hRule="atLeast" w:val="1287"/>
        </w:trPr>
        <w:tc>
          <w:tcPr>
            <w:tcW w:type="dxa" w:w="11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Татаринцев А.В.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</w:p>
        </w:tc>
      </w:tr>
    </w:tbl>
    <w:p w14:paraId="0A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B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ОТЧЕТ </w:t>
      </w:r>
    </w:p>
    <w:p w14:paraId="0C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ХОДЕ РЕАЛИЗАЦИИ МУНИЦИПАЛЬНОЙ (КОМПЛЕКСНОЙ) ПРОГРАММЫ</w:t>
      </w:r>
    </w:p>
    <w:p w14:paraId="0D000000">
      <w:pPr>
        <w:ind/>
        <w:contextualSpacing w:val="1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0E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 полугодие 2025 года</w:t>
      </w:r>
    </w:p>
    <w:p w14:paraId="0F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 w:right="536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Сведения о достижении показателей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9"/>
        <w:gridCol w:w="971"/>
        <w:gridCol w:w="2111"/>
        <w:gridCol w:w="1087"/>
        <w:gridCol w:w="1087"/>
        <w:gridCol w:w="952"/>
        <w:gridCol w:w="951"/>
        <w:gridCol w:w="1087"/>
        <w:gridCol w:w="1087"/>
        <w:gridCol w:w="766"/>
        <w:gridCol w:w="951"/>
        <w:gridCol w:w="952"/>
        <w:gridCol w:w="1222"/>
        <w:gridCol w:w="1084"/>
        <w:gridCol w:w="200"/>
      </w:tblGrid>
      <w:tr>
        <w:trPr>
          <w:trHeight w:hRule="atLeast" w:val="1445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 (по ОКЕИ)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807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Цель муниципальной программы «</w:t>
            </w:r>
            <w:r>
              <w:rPr>
                <w:rFonts w:ascii="Times New Roman" w:hAnsi="Times New Roman"/>
                <w:sz w:val="24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21,5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21,5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21,5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7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и благоустройство мест захоронения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</w:t>
            </w:r>
          </w:p>
          <w:p w14:paraId="4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2,25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2,25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2,25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2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зеленых насаждений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тыс.м2</w:t>
            </w:r>
          </w:p>
          <w:p w14:paraId="5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2580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000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61000000">
      <w:pPr>
        <w:spacing w:line="264" w:lineRule="auto"/>
        <w:ind/>
        <w:rPr>
          <w:rFonts w:ascii="Times New Roman" w:hAnsi="Times New Roman"/>
          <w:sz w:val="20"/>
        </w:rPr>
      </w:pPr>
    </w:p>
    <w:p w14:paraId="62000000">
      <w:pPr>
        <w:spacing w:line="264" w:lineRule="auto"/>
        <w:ind w:firstLine="0" w:left="357" w:right="539"/>
        <w:jc w:val="right"/>
        <w:rPr>
          <w:rFonts w:ascii="Times New Roman" w:hAnsi="Times New Roman"/>
          <w:sz w:val="20"/>
        </w:rPr>
      </w:pPr>
    </w:p>
    <w:p w14:paraId="63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3"/>
        <w:gridCol w:w="1232"/>
        <w:gridCol w:w="942"/>
        <w:gridCol w:w="1053"/>
        <w:gridCol w:w="1120"/>
        <w:gridCol w:w="1074"/>
        <w:gridCol w:w="1703"/>
        <w:gridCol w:w="2440"/>
      </w:tblGrid>
      <w:tr>
        <w:trPr>
          <w:trHeight w:hRule="atLeast" w:val="462"/>
        </w:trPr>
        <w:tc>
          <w:tcPr>
            <w:tcW w:type="dxa" w:w="5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type="dxa" w:w="32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14:paraId="6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Исполнение, тыс. рублей</w:t>
            </w:r>
          </w:p>
        </w:tc>
        <w:tc>
          <w:tcPr>
            <w:tcW w:type="dxa" w:w="1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2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  <w:p w14:paraId="6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52"/>
        </w:trPr>
        <w:tc>
          <w:tcPr>
            <w:tcW w:type="dxa" w:w="5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Лимиты бюджетных обязательств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Принятые бюджетные обязательства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type="dxa" w:w="1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 xml:space="preserve">Носовского сельского поселения </w:t>
            </w:r>
            <w:r>
              <w:rPr>
                <w:rFonts w:ascii="Times New Roman" w:hAnsi="Times New Roman"/>
                <w:sz w:val="24"/>
              </w:rPr>
              <w:t>«Благоустройство территории Носовского сельского поселения»</w:t>
            </w:r>
            <w:r>
              <w:rPr>
                <w:rFonts w:ascii="Times New Roman" w:hAnsi="Times New Roman"/>
                <w:sz w:val="24"/>
              </w:rPr>
              <w:t xml:space="preserve"> (всего), </w:t>
            </w:r>
          </w:p>
          <w:p w14:paraId="79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2194,5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899,4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31,8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9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2194,5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899,4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31,8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0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73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</w:rPr>
              <w:t>Благоустройство территории»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AA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2194,5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899,4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31,8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2194,5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899,4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31,8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DA000000">
      <w:pPr>
        <w:tabs>
          <w:tab w:leader="none" w:pos="9669" w:val="left"/>
        </w:tabs>
        <w:spacing w:after="160" w:line="264" w:lineRule="auto"/>
        <w:ind w:right="536"/>
        <w:rPr>
          <w:rFonts w:ascii="Times New Roman" w:hAnsi="Times New Roman"/>
          <w:sz w:val="20"/>
        </w:rPr>
      </w:pPr>
    </w:p>
    <w:p w14:paraId="DB00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DC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DD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DE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DF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№2</w:t>
      </w:r>
    </w:p>
    <w:p w14:paraId="E0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E1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E2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E3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</w:p>
    <w:p w14:paraId="E4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E5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E6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1247"/>
        <w:gridCol w:w="1736"/>
        <w:gridCol w:w="971"/>
        <w:gridCol w:w="921"/>
        <w:gridCol w:w="971"/>
        <w:gridCol w:w="970"/>
        <w:gridCol w:w="1067"/>
        <w:gridCol w:w="1114"/>
        <w:gridCol w:w="799"/>
        <w:gridCol w:w="970"/>
        <w:gridCol w:w="969"/>
        <w:gridCol w:w="1108"/>
        <w:gridCol w:w="1411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300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Поддержание на существующем уровне и улучшение санитарно-эпидемиологического состояния и</w:t>
            </w:r>
            <w:r>
              <w:rPr>
                <w:rFonts w:ascii="Times New Roman" w:hAnsi="Times New Roman"/>
                <w:sz w:val="24"/>
              </w:rPr>
              <w:t xml:space="preserve"> благоустроенности территории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</w:rPr>
              <w:t>расходных</w:t>
            </w:r>
            <w:r>
              <w:rPr>
                <w:rFonts w:ascii="Times New Roman" w:hAnsi="Times New Roman"/>
                <w:sz w:val="24"/>
              </w:rPr>
              <w:t xml:space="preserve"> обязательств бюджета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0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  <w:p w14:paraId="0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16010000">
      <w:pPr>
        <w:ind w:right="536"/>
        <w:contextualSpacing w:val="1"/>
        <w:rPr>
          <w:rFonts w:ascii="Times New Roman" w:hAnsi="Times New Roman"/>
          <w:sz w:val="20"/>
        </w:rPr>
      </w:pPr>
    </w:p>
    <w:p w14:paraId="1701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18010000">
      <w:pPr>
        <w:ind w:right="536"/>
        <w:contextualSpacing w:val="1"/>
        <w:rPr>
          <w:rFonts w:ascii="Times New Roman" w:hAnsi="Times New Roman"/>
          <w:sz w:val="20"/>
        </w:rPr>
      </w:pPr>
    </w:p>
    <w:p w14:paraId="19010000">
      <w:pPr>
        <w:ind w:right="536"/>
        <w:contextualSpacing w:val="1"/>
        <w:rPr>
          <w:rFonts w:ascii="Times New Roman" w:hAnsi="Times New Roman"/>
          <w:sz w:val="20"/>
        </w:rPr>
      </w:pPr>
    </w:p>
    <w:p w14:paraId="1A010000">
      <w:pPr>
        <w:ind w:right="536"/>
        <w:contextualSpacing w:val="1"/>
        <w:rPr>
          <w:rFonts w:ascii="Times New Roman" w:hAnsi="Times New Roman"/>
          <w:sz w:val="20"/>
        </w:rPr>
      </w:pPr>
    </w:p>
    <w:p w14:paraId="1B010000">
      <w:pPr>
        <w:ind w:right="536"/>
        <w:contextualSpacing w:val="1"/>
        <w:rPr>
          <w:rFonts w:ascii="Times New Roman" w:hAnsi="Times New Roman"/>
          <w:sz w:val="20"/>
        </w:rPr>
      </w:pPr>
    </w:p>
    <w:p w14:paraId="1C010000">
      <w:pPr>
        <w:ind w:right="536"/>
        <w:contextualSpacing w:val="1"/>
        <w:rPr>
          <w:rFonts w:ascii="Times New Roman" w:hAnsi="Times New Roman"/>
          <w:sz w:val="20"/>
        </w:rPr>
      </w:pPr>
    </w:p>
    <w:p w14:paraId="1D010000">
      <w:pPr>
        <w:ind w:right="536"/>
        <w:contextualSpacing w:val="1"/>
        <w:rPr>
          <w:rFonts w:ascii="Times New Roman" w:hAnsi="Times New Roman"/>
          <w:sz w:val="20"/>
        </w:rPr>
      </w:pPr>
    </w:p>
    <w:p w14:paraId="1E010000">
      <w:pPr>
        <w:ind w:right="536"/>
        <w:contextualSpacing w:val="1"/>
        <w:rPr>
          <w:rFonts w:ascii="Times New Roman" w:hAnsi="Times New Roman"/>
          <w:sz w:val="20"/>
        </w:rPr>
      </w:pPr>
    </w:p>
    <w:p w14:paraId="1F010000">
      <w:pPr>
        <w:ind w:right="536"/>
        <w:contextualSpacing w:val="1"/>
        <w:rPr>
          <w:rFonts w:ascii="Times New Roman" w:hAnsi="Times New Roman"/>
          <w:sz w:val="20"/>
        </w:rPr>
      </w:pPr>
    </w:p>
    <w:p w14:paraId="20010000">
      <w:pPr>
        <w:ind w:right="536"/>
        <w:contextualSpacing w:val="1"/>
        <w:rPr>
          <w:rFonts w:ascii="Times New Roman" w:hAnsi="Times New Roman"/>
          <w:sz w:val="20"/>
        </w:rPr>
      </w:pPr>
    </w:p>
    <w:p w14:paraId="21010000">
      <w:pPr>
        <w:ind w:right="536"/>
        <w:contextualSpacing w:val="1"/>
        <w:rPr>
          <w:rFonts w:ascii="Times New Roman" w:hAnsi="Times New Roman"/>
          <w:sz w:val="20"/>
        </w:rPr>
      </w:pPr>
    </w:p>
    <w:p w14:paraId="22010000">
      <w:pPr>
        <w:ind w:right="536"/>
        <w:contextualSpacing w:val="1"/>
        <w:rPr>
          <w:rFonts w:ascii="Times New Roman" w:hAnsi="Times New Roman"/>
          <w:sz w:val="20"/>
        </w:rPr>
      </w:pPr>
    </w:p>
    <w:p w14:paraId="23010000">
      <w:pPr>
        <w:ind w:right="536"/>
        <w:contextualSpacing w:val="1"/>
        <w:rPr>
          <w:rFonts w:ascii="Times New Roman" w:hAnsi="Times New Roman"/>
          <w:sz w:val="20"/>
        </w:rPr>
      </w:pPr>
    </w:p>
    <w:p w14:paraId="24010000">
      <w:pPr>
        <w:ind w:right="536"/>
        <w:contextualSpacing w:val="1"/>
        <w:jc w:val="center"/>
        <w:rPr>
          <w:rFonts w:ascii="Times New Roman" w:hAnsi="Times New Roman"/>
          <w:sz w:val="20"/>
        </w:rPr>
      </w:pPr>
    </w:p>
    <w:p w14:paraId="25010000">
      <w:pPr>
        <w:ind/>
        <w:jc w:val="both"/>
        <w:rPr>
          <w:rFonts w:ascii="Times New Roman" w:hAnsi="Times New Roman"/>
          <w:sz w:val="16"/>
        </w:rPr>
      </w:pPr>
    </w:p>
    <w:p w14:paraId="26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0"/>
        </w:rPr>
      </w:pPr>
    </w:p>
    <w:p w14:paraId="27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1"/>
        <w:gridCol w:w="3390"/>
        <w:gridCol w:w="801"/>
        <w:gridCol w:w="935"/>
        <w:gridCol w:w="648"/>
        <w:gridCol w:w="825"/>
        <w:gridCol w:w="903"/>
        <w:gridCol w:w="839"/>
        <w:gridCol w:w="795"/>
        <w:gridCol w:w="916"/>
        <w:gridCol w:w="912"/>
        <w:gridCol w:w="865"/>
        <w:gridCol w:w="1266"/>
        <w:gridCol w:w="934"/>
        <w:gridCol w:w="457"/>
      </w:tblGrid>
      <w:tr>
        <w:trPr>
          <w:trHeight w:hRule="atLeast" w:val="986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3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2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2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3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48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Поддержание на существующем уровне и улучшение санитарно-эпидемиологического состояния и благоустроенности территории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113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3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 «</w:t>
            </w:r>
            <w:r>
              <w:rPr>
                <w:rFonts w:ascii="Times New Roman" w:hAnsi="Times New Roman"/>
                <w:sz w:val="20"/>
              </w:rPr>
              <w:t xml:space="preserve">Обеспечено содержание </w:t>
            </w:r>
            <w:r>
              <w:rPr>
                <w:rFonts w:ascii="Times New Roman" w:hAnsi="Times New Roman"/>
                <w:sz w:val="20"/>
              </w:rPr>
              <w:t>электрических сетей наружного (уличного) освещения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Татаринцев А.В., </w:t>
            </w:r>
            <w:r>
              <w:rPr>
                <w:rFonts w:ascii="Times New Roman" w:hAnsi="Times New Roman"/>
                <w:sz w:val="16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type="dxa" w:w="3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</w:t>
            </w:r>
          </w:p>
          <w:p w14:paraId="5B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  <w:r>
              <w:rPr>
                <w:rFonts w:ascii="Times New Roman" w:hAnsi="Times New Roman"/>
                <w:sz w:val="20"/>
              </w:rPr>
              <w:t xml:space="preserve">для обеспечения государственных </w:t>
            </w:r>
            <w:r>
              <w:rPr>
                <w:rFonts w:ascii="Times New Roman" w:hAnsi="Times New Roman"/>
                <w:sz w:val="20"/>
              </w:rPr>
              <w:t xml:space="preserve">и муниципальных нужд» </w:t>
            </w:r>
            <w:r>
              <w:rPr>
                <w:rFonts w:ascii="Times New Roman" w:hAnsi="Times New Roman"/>
                <w:sz w:val="20"/>
              </w:rPr>
              <w:t>для обеспечения нужд Администрации 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соответствии с утвержденным планом – графиком закупок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Носовского сельского поселения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6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6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декабря 2025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декабря 2025 г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6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  <w:p w14:paraId="6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</w:t>
            </w:r>
          </w:p>
          <w:p w14:paraId="6C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контракты</w:t>
            </w:r>
          </w:p>
          <w:p w14:paraId="6D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(договоры)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type="dxa" w:w="3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</w:t>
            </w:r>
          </w:p>
          <w:p w14:paraId="7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 расходов бюджета Носовского сельского поселения в части осуществления оплаты поставщикам, подрядчикам, исполнителям по муниципальным контрактам (договорам) в целях исполнения бюджета Носовского сельского поселения 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7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7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декабря 2025 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C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декабря 2025 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Сергеева М.Л..,</w:t>
            </w:r>
          </w:p>
          <w:p w14:paraId="8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 Администрации 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платежное поручение</w:t>
            </w:r>
          </w:p>
          <w:p w14:paraId="82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49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spacing w:after="0" w:line="252" w:lineRule="auto"/>
              <w:ind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2</w:t>
            </w:r>
          </w:p>
          <w:p w14:paraId="86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содержание объектов благоустройства на территории поселения»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4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2.1.</w:t>
            </w:r>
          </w:p>
          <w:p w14:paraId="96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97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обеспечения государственных </w:t>
            </w:r>
          </w:p>
          <w:p w14:paraId="98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 муниципальных нужд» </w:t>
            </w:r>
          </w:p>
          <w:p w14:paraId="99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обеспечения нужд Администрации 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9A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соответствии с утвержденным планом – графиком закупок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9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A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  <w:p w14:paraId="A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декабря 2025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декабря 2025 г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A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  <w:p w14:paraId="A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</w:t>
            </w:r>
          </w:p>
          <w:p w14:paraId="AC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контракты</w:t>
            </w:r>
          </w:p>
          <w:p w14:paraId="AD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(договоры)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4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2.2.</w:t>
            </w:r>
          </w:p>
          <w:p w14:paraId="B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расходов бюджета Носовского сельского поселения в части осуществления оплаты поставщикам, подрядчикам, исполнителям по муниципальным контрактам (договорам) в целях исполнения бюджета Носовского сельского поселения Неклиновского района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B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  <w:p w14:paraId="B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B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декабря 2025 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BD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декабря 2025 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Сергеева М.Л..,</w:t>
            </w:r>
          </w:p>
          <w:p w14:paraId="C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 Администрации 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платежное поручение</w:t>
            </w:r>
          </w:p>
          <w:p w14:paraId="C3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C5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6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7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8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9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A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B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C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D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E010000">
      <w:pPr>
        <w:ind w:right="536"/>
        <w:contextualSpacing w:val="1"/>
        <w:rPr>
          <w:rFonts w:ascii="Times New Roman" w:hAnsi="Times New Roman"/>
          <w:sz w:val="20"/>
        </w:rPr>
      </w:pPr>
    </w:p>
    <w:p w14:paraId="CF01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D001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8"/>
        <w:gridCol w:w="1283"/>
        <w:gridCol w:w="981"/>
        <w:gridCol w:w="1096"/>
        <w:gridCol w:w="1167"/>
        <w:gridCol w:w="1088"/>
        <w:gridCol w:w="1094"/>
        <w:gridCol w:w="1335"/>
      </w:tblGrid>
      <w:tr>
        <w:trPr>
          <w:trHeight w:hRule="atLeast" w:val="411"/>
        </w:trPr>
        <w:tc>
          <w:tcPr>
            <w:tcW w:type="dxa" w:w="6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type="dxa" w:w="33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1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1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>
        <w:trPr>
          <w:trHeight w:hRule="atLeast" w:val="603"/>
        </w:trPr>
        <w:tc>
          <w:tcPr>
            <w:tcW w:type="dxa" w:w="6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type="dxa" w:w="1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8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rPr>
          <w:trHeight w:hRule="atLeast" w:val="504"/>
          <w:hidden w:val="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Благоустройство территории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2194,5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899,4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31,8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2833,5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2194,5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899,1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31,8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69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 xml:space="preserve">Обеспечено содержание </w:t>
            </w:r>
            <w:r>
              <w:rPr>
                <w:rFonts w:ascii="Times New Roman" w:hAnsi="Times New Roman"/>
                <w:sz w:val="24"/>
              </w:rPr>
              <w:t>электрических сетей наружного (уличного) освещения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1053,4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1053,4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1053,4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536,0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221,5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1053,4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1053,4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1053,4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536,0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221,5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8"/>
        <w:gridCol w:w="1283"/>
        <w:gridCol w:w="981"/>
        <w:gridCol w:w="1096"/>
        <w:gridCol w:w="1167"/>
        <w:gridCol w:w="1088"/>
        <w:gridCol w:w="1094"/>
        <w:gridCol w:w="1335"/>
      </w:tblGrid>
      <w:tr>
        <w:trPr>
          <w:trHeight w:hRule="atLeast" w:val="469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2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Обеспечено содержание объектов благоустройства на территории поселения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1780,1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1780,1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1780,1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1658,5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677,9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38,1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1780,1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1780,1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1780,1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1658,5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677,9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38,1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3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4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75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76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77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Нормативно-методическое</w:t>
      </w:r>
      <w:r>
        <w:rPr>
          <w:rFonts w:ascii="Times New Roman" w:hAnsi="Times New Roman"/>
          <w:sz w:val="28"/>
        </w:rPr>
        <w:t>, информационное</w:t>
      </w:r>
      <w:r>
        <w:rPr>
          <w:rFonts w:ascii="Times New Roman" w:hAnsi="Times New Roman"/>
          <w:sz w:val="28"/>
        </w:rPr>
        <w:t xml:space="preserve"> обеспечение</w:t>
      </w:r>
    </w:p>
    <w:p w14:paraId="78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 xml:space="preserve"> и организация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лагоустройств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>»</w:t>
      </w:r>
    </w:p>
    <w:p w14:paraId="7902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7A02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7B02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4"/>
        </w:rPr>
        <w:t>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911"/>
        <w:gridCol w:w="2909"/>
        <w:gridCol w:w="852"/>
        <w:gridCol w:w="921"/>
        <w:gridCol w:w="971"/>
        <w:gridCol w:w="970"/>
        <w:gridCol w:w="1067"/>
        <w:gridCol w:w="1114"/>
        <w:gridCol w:w="799"/>
        <w:gridCol w:w="970"/>
        <w:gridCol w:w="766"/>
        <w:gridCol w:w="930"/>
        <w:gridCol w:w="1074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33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sz w:val="24"/>
              </w:rPr>
              <w:t xml:space="preserve">правового регулирования в сфере </w:t>
            </w:r>
            <w:r>
              <w:rPr>
                <w:rFonts w:ascii="Times New Roman" w:hAnsi="Times New Roman"/>
                <w:sz w:val="24"/>
              </w:rPr>
              <w:t>организации благоустройства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956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Исполнение расходных обязательств бюджета</w:t>
            </w:r>
            <w:r>
              <w:rPr>
                <w:rFonts w:ascii="Times New Roman" w:hAnsi="Times New Roman"/>
                <w:sz w:val="22"/>
              </w:rPr>
              <w:t xml:space="preserve"> поселения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9F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  <w:p w14:paraId="A7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  <w:p w14:paraId="A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AC020000">
      <w:pPr>
        <w:ind w:right="536"/>
        <w:contextualSpacing w:val="1"/>
        <w:rPr>
          <w:rFonts w:ascii="Times New Roman" w:hAnsi="Times New Roman"/>
          <w:sz w:val="20"/>
        </w:rPr>
      </w:pPr>
    </w:p>
    <w:p w14:paraId="AD02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AE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AF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B0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B1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B2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B3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B4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B5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718"/>
        <w:gridCol w:w="801"/>
        <w:gridCol w:w="935"/>
        <w:gridCol w:w="648"/>
        <w:gridCol w:w="927"/>
        <w:gridCol w:w="946"/>
        <w:gridCol w:w="839"/>
        <w:gridCol w:w="825"/>
        <w:gridCol w:w="932"/>
        <w:gridCol w:w="912"/>
        <w:gridCol w:w="865"/>
        <w:gridCol w:w="1266"/>
        <w:gridCol w:w="934"/>
        <w:gridCol w:w="876"/>
      </w:tblGrid>
      <w:tr>
        <w:trPr>
          <w:trHeight w:hRule="atLeast" w:val="986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B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B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1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424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D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sz w:val="24"/>
              </w:rPr>
              <w:t xml:space="preserve">правового регулирования в сфере </w:t>
            </w:r>
            <w:r>
              <w:rPr>
                <w:rFonts w:ascii="Times New Roman" w:hAnsi="Times New Roman"/>
                <w:sz w:val="24"/>
              </w:rPr>
              <w:t>организации благоустройства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Обеспечена р</w:t>
            </w:r>
            <w:r>
              <w:rPr>
                <w:rFonts w:ascii="Times New Roman" w:hAnsi="Times New Roman"/>
                <w:sz w:val="24"/>
              </w:rPr>
              <w:t>азработка нормативно правовых актов;</w:t>
            </w:r>
          </w:p>
          <w:p w14:paraId="D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совершенствование нормативного правового регулирования по организации </w:t>
            </w:r>
            <w:r>
              <w:rPr>
                <w:rFonts w:ascii="Times New Roman" w:hAnsi="Times New Roman"/>
                <w:sz w:val="24"/>
              </w:rPr>
              <w:t>благоустройства территории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E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подготовлены нормативно правовые акты Носовского сельского поселения по организации благоустройства поселения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 необходимость</w:t>
            </w:r>
          </w:p>
          <w:p w14:paraId="F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при необходимости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 необходимость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Загривная О.И.,</w:t>
            </w:r>
          </w:p>
          <w:p w14:paraId="F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главный специалист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FC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D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E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F02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информация к отчету о ходе реализации муниципальной </w:t>
      </w:r>
      <w:r>
        <w:rPr>
          <w:rFonts w:ascii="Times New Roman" w:hAnsi="Times New Roman"/>
          <w:sz w:val="28"/>
        </w:rPr>
        <w:t xml:space="preserve">программы </w:t>
      </w:r>
    </w:p>
    <w:p w14:paraId="0003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2025  год по итогам 1 полугодия 2025 года</w:t>
      </w:r>
    </w:p>
    <w:p w14:paraId="0103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203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Муниципальная программа </w:t>
      </w:r>
      <w:r>
        <w:rPr>
          <w:rFonts w:ascii="Times New Roman" w:hAnsi="Times New Roman"/>
          <w:sz w:val="28"/>
        </w:rPr>
        <w:t>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(далее – муниципальная программа) утверждена </w:t>
      </w:r>
      <w:r>
        <w:rPr>
          <w:rFonts w:ascii="Times New Roman" w:hAnsi="Times New Roman"/>
          <w:sz w:val="28"/>
        </w:rPr>
        <w:t xml:space="preserve">утверждена постановлением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Носовского сельского поселения от 12.11.2018 № 60.</w:t>
      </w:r>
    </w:p>
    <w:p w14:paraId="0303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 реализацию муниципальной программы </w:t>
      </w:r>
      <w:r>
        <w:rPr>
          <w:rFonts w:ascii="Times New Roman" w:hAnsi="Times New Roman"/>
          <w:sz w:val="28"/>
        </w:rPr>
        <w:t>в 2025 году предусмотрено 2833,5 тыс. рублей, сводной бюджетной росписью –2833,5 тыс. рублей. Фактическое освоение средств по итогам 1 полугодия 2025 года составило 899,4 тыс. рублей или 31,8 процента от предусмотренного сводной бюджетной росписью объема.</w:t>
      </w:r>
    </w:p>
    <w:p w14:paraId="0403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503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Муниципальная программа </w:t>
      </w:r>
      <w:r>
        <w:rPr>
          <w:rFonts w:ascii="Times New Roman" w:hAnsi="Times New Roman"/>
          <w:sz w:val="28"/>
        </w:rPr>
        <w:t>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включает в себя следующие структурные элементы:</w:t>
      </w:r>
    </w:p>
    <w:p w14:paraId="06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; </w:t>
      </w:r>
    </w:p>
    <w:p w14:paraId="07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Нормативно-методическое</w:t>
      </w:r>
      <w:r>
        <w:rPr>
          <w:rFonts w:ascii="Times New Roman" w:hAnsi="Times New Roman"/>
          <w:sz w:val="28"/>
        </w:rPr>
        <w:t>, информационное</w:t>
      </w:r>
      <w:r>
        <w:rPr>
          <w:rFonts w:ascii="Times New Roman" w:hAnsi="Times New Roman"/>
          <w:sz w:val="28"/>
        </w:rPr>
        <w:t xml:space="preserve"> обеспечение и организация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лагоустройств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8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муниципальной программы </w:t>
      </w:r>
      <w:r>
        <w:rPr>
          <w:rFonts w:ascii="Times New Roman" w:hAnsi="Times New Roman"/>
          <w:sz w:val="28"/>
        </w:rPr>
        <w:t>«Благоустройство территории Носовского сельского поселения»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2025 году предусмотрено достижение 3 показателей муниципальной программы. </w:t>
      </w:r>
      <w:r>
        <w:rPr>
          <w:rFonts w:ascii="Times New Roman" w:hAnsi="Times New Roman"/>
          <w:sz w:val="28"/>
        </w:rPr>
        <w:t>В настоящее время риски их неисполнения отсутствуют.</w:t>
      </w:r>
    </w:p>
    <w:p w14:paraId="0A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2025 году муниципальной программой предусмотрено 2833,5 тыс. рублей, сводной бюджетной росписью – 2833,5 тыс. рублей. Фактическое освоение средств по итогам 1 полугодия 2025 года составило 899,4 тыс. рублей или 31,8 процента.</w:t>
      </w:r>
    </w:p>
    <w:p w14:paraId="0C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достижение которых запланировано на конец года. </w:t>
      </w:r>
      <w:r>
        <w:rPr>
          <w:rFonts w:ascii="Times New Roman" w:hAnsi="Times New Roman"/>
          <w:sz w:val="28"/>
        </w:rPr>
        <w:t>В настоящее время риски неисполнения мероприятия отсутствуют.</w:t>
      </w:r>
    </w:p>
    <w:p w14:paraId="0D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задач КПМ</w:t>
      </w:r>
      <w:r>
        <w:rPr>
          <w:rFonts w:ascii="Times New Roman" w:hAnsi="Times New Roman"/>
          <w:sz w:val="28"/>
        </w:rPr>
        <w:t xml:space="preserve"> оценивается на основании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контрольных точек.</w:t>
      </w:r>
    </w:p>
    <w:p w14:paraId="0E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4 контрольным точкам подведены промежуточные </w:t>
      </w:r>
      <w:r>
        <w:rPr>
          <w:rFonts w:ascii="Times New Roman" w:hAnsi="Times New Roman"/>
          <w:sz w:val="28"/>
        </w:rPr>
        <w:t>итоги их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p w14:paraId="0F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мероприятий (результатов) КПМ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Нормативно-методическое</w:t>
      </w:r>
      <w:r>
        <w:rPr>
          <w:rFonts w:ascii="Times New Roman" w:hAnsi="Times New Roman"/>
          <w:sz w:val="28"/>
        </w:rPr>
        <w:t>, информационное</w:t>
      </w:r>
      <w:r>
        <w:rPr>
          <w:rFonts w:ascii="Times New Roman" w:hAnsi="Times New Roman"/>
          <w:sz w:val="28"/>
        </w:rPr>
        <w:t xml:space="preserve"> обеспечение и организация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лагоустройств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расходы бюджета</w:t>
      </w:r>
      <w:r>
        <w:rPr>
          <w:rFonts w:ascii="Times New Roman" w:hAnsi="Times New Roman"/>
          <w:sz w:val="28"/>
        </w:rPr>
        <w:t xml:space="preserve"> Носовского сельского поселения</w:t>
      </w:r>
      <w:r>
        <w:rPr>
          <w:rFonts w:ascii="Times New Roman" w:hAnsi="Times New Roman"/>
          <w:sz w:val="28"/>
        </w:rPr>
        <w:t xml:space="preserve"> не предусмотрены.</w:t>
      </w:r>
    </w:p>
    <w:p w14:paraId="11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1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(результат</w:t>
      </w:r>
      <w:r>
        <w:rPr>
          <w:rFonts w:ascii="Times New Roman" w:hAnsi="Times New Roman"/>
          <w:sz w:val="28"/>
        </w:rPr>
        <w:t>), достижение которого</w:t>
      </w:r>
      <w:r>
        <w:rPr>
          <w:rFonts w:ascii="Times New Roman" w:hAnsi="Times New Roman"/>
          <w:sz w:val="28"/>
        </w:rPr>
        <w:t xml:space="preserve"> будет осуществляться  по мере необходимости.</w:t>
      </w:r>
      <w:r>
        <w:rPr>
          <w:rFonts w:ascii="Times New Roman" w:hAnsi="Times New Roman"/>
          <w:sz w:val="28"/>
        </w:rPr>
        <w:t xml:space="preserve"> В настоящее время риски его неисполнения отсутствуют. Изменения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нормативно правовые акты Носовского сельского поселения по организации благоустройства поселения не вносились.</w:t>
      </w:r>
    </w:p>
    <w:p w14:paraId="12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задач КПМ оценивается за 1 полугодие 2025 года на основании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контрольной точки.</w:t>
      </w:r>
    </w:p>
    <w:p w14:paraId="13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1 контрольной точке подведены промежуточные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итоги их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p w14:paraId="14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анализа и мониторинга исполнения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 программы Носовского сельского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на 2025</w:t>
      </w:r>
      <w:r>
        <w:rPr>
          <w:rFonts w:ascii="Times New Roman" w:hAnsi="Times New Roman"/>
          <w:sz w:val="28"/>
        </w:rPr>
        <w:t xml:space="preserve"> год по итогам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полугодия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года установлено отсутствие фактов невыполнения мероприятий (результатов) и контрольных точек либо несоблюдения сроков их исполнения. </w:t>
      </w:r>
    </w:p>
    <w:p w14:paraId="16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(результаты) и контрольные точки выполняются в установленные сроки, в связи с чем, принятие дополнительных поручений не требуется.</w:t>
      </w:r>
    </w:p>
    <w:p w14:paraId="18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2025-07-15T12:16:11Z</dcterms:modified>
</cp:coreProperties>
</file>